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F280" w14:textId="77777777" w:rsidR="00B71F81" w:rsidRDefault="00B71F81" w:rsidP="00B71F81">
      <w:pPr>
        <w:pStyle w:val="BlockText"/>
        <w:tabs>
          <w:tab w:val="left" w:pos="1400"/>
          <w:tab w:val="left" w:pos="2200"/>
        </w:tabs>
        <w:ind w:left="-284" w:firstLine="0"/>
        <w:jc w:val="center"/>
        <w:rPr>
          <w:b/>
          <w:bCs/>
          <w:lang w:val="es-MX"/>
        </w:rPr>
      </w:pPr>
      <w:r>
        <w:rPr>
          <w:b/>
          <w:bCs/>
          <w:lang w:val="es-MX"/>
        </w:rPr>
        <w:t>EVALUACIÓN DE LA PERTINENCIA DE LAS OBSERVACIONES SOUTHERN PERÚ</w:t>
      </w:r>
    </w:p>
    <w:p w14:paraId="037AB9D9" w14:textId="77777777" w:rsidR="00B71F81" w:rsidRDefault="00B71F81" w:rsidP="00B71F81">
      <w:pPr>
        <w:pStyle w:val="BlockText"/>
        <w:ind w:left="0" w:firstLine="0"/>
        <w:jc w:val="center"/>
        <w:rPr>
          <w:b/>
          <w:bCs/>
          <w:lang w:val="es-MX"/>
        </w:rPr>
      </w:pPr>
    </w:p>
    <w:p w14:paraId="0CCC2CA0" w14:textId="77777777" w:rsidR="00B71F81" w:rsidRDefault="00B71F81" w:rsidP="00B71F81">
      <w:pPr>
        <w:jc w:val="both"/>
        <w:rPr>
          <w:rFonts w:ascii="Arial" w:hAnsi="Arial"/>
        </w:rPr>
      </w:pPr>
      <w:r>
        <w:rPr>
          <w:rFonts w:ascii="Arial" w:hAnsi="Arial"/>
        </w:rPr>
        <w:t>Con la carta S/N del 09.02.2023</w:t>
      </w:r>
      <w:r w:rsidRPr="00C247A8">
        <w:rPr>
          <w:rFonts w:ascii="Arial" w:hAnsi="Arial"/>
        </w:rPr>
        <w:t>,</w:t>
      </w:r>
      <w:r>
        <w:rPr>
          <w:rFonts w:ascii="Arial" w:hAnsi="Arial"/>
        </w:rPr>
        <w:t xml:space="preserve"> SOUTHERN PERÚ incluyó los siguientes comentarios, los cuales se adjuntan en el siguiente enlace:</w:t>
      </w:r>
    </w:p>
    <w:p w14:paraId="0FD8B66B" w14:textId="26CA1BDA" w:rsidR="00B71F81" w:rsidRPr="00435F72" w:rsidRDefault="00B71F81" w:rsidP="00B71F81">
      <w:pPr>
        <w:autoSpaceDE w:val="0"/>
        <w:autoSpaceDN w:val="0"/>
        <w:adjustRightInd w:val="0"/>
        <w:jc w:val="center"/>
      </w:pPr>
    </w:p>
    <w:p w14:paraId="08ED5315" w14:textId="11AA8ADF" w:rsidR="002350D9" w:rsidRPr="00D33FCD" w:rsidRDefault="002350D9" w:rsidP="002350D9">
      <w:pPr>
        <w:pStyle w:val="ListParagraph"/>
        <w:numPr>
          <w:ilvl w:val="0"/>
          <w:numId w:val="6"/>
        </w:numPr>
        <w:spacing w:after="160" w:line="259" w:lineRule="auto"/>
        <w:jc w:val="left"/>
        <w:rPr>
          <w:rFonts w:ascii="Arial" w:hAnsi="Arial" w:cs="Arial"/>
          <w:b w:val="0"/>
          <w:bCs w:val="0"/>
          <w:lang w:val="es-ES"/>
        </w:rPr>
      </w:pPr>
      <w:r w:rsidRPr="00D33FCD">
        <w:rPr>
          <w:rFonts w:ascii="Arial" w:hAnsi="Arial" w:cs="Arial"/>
          <w:lang w:val="es-ES"/>
        </w:rPr>
        <w:t>Observaciones de SPCC:</w:t>
      </w:r>
    </w:p>
    <w:tbl>
      <w:tblPr>
        <w:tblStyle w:val="TableGrid"/>
        <w:tblW w:w="8650" w:type="dxa"/>
        <w:tblInd w:w="1" w:type="dxa"/>
        <w:tblLook w:val="04A0" w:firstRow="1" w:lastRow="0" w:firstColumn="1" w:lastColumn="0" w:noHBand="0" w:noVBand="1"/>
      </w:tblPr>
      <w:tblGrid>
        <w:gridCol w:w="1732"/>
        <w:gridCol w:w="6918"/>
      </w:tblGrid>
      <w:tr w:rsidR="00B71F81" w:rsidRPr="00B71F81" w14:paraId="08198C8D" w14:textId="77777777" w:rsidTr="00DC1C23">
        <w:trPr>
          <w:trHeight w:val="672"/>
        </w:trPr>
        <w:tc>
          <w:tcPr>
            <w:tcW w:w="1418" w:type="dxa"/>
            <w:tcBorders>
              <w:top w:val="nil"/>
              <w:left w:val="nil"/>
              <w:bottom w:val="nil"/>
              <w:right w:val="nil"/>
            </w:tcBorders>
          </w:tcPr>
          <w:p w14:paraId="7A8C1C70" w14:textId="77777777" w:rsidR="00B71F81" w:rsidRPr="00B71F81" w:rsidRDefault="00B71F81" w:rsidP="00DC1C23">
            <w:pPr>
              <w:spacing w:after="216"/>
              <w:ind w:left="709"/>
              <w:rPr>
                <w:rFonts w:ascii="Arial" w:eastAsia="Arial" w:hAnsi="Arial" w:cs="Arial"/>
                <w:sz w:val="20"/>
              </w:rPr>
            </w:pPr>
            <w:r w:rsidRPr="00B71F81">
              <w:rPr>
                <w:rFonts w:ascii="Arial" w:eastAsia="Arial" w:hAnsi="Arial" w:cs="Arial"/>
                <w:b/>
                <w:sz w:val="20"/>
              </w:rPr>
              <w:t xml:space="preserve">Asunto:  </w:t>
            </w:r>
          </w:p>
          <w:p w14:paraId="6C2BE3F4" w14:textId="77777777" w:rsidR="00B71F81" w:rsidRPr="00B71F81" w:rsidRDefault="00B71F81" w:rsidP="00DC1C23">
            <w:pPr>
              <w:ind w:left="709"/>
              <w:rPr>
                <w:rFonts w:ascii="Arial" w:eastAsia="Arial" w:hAnsi="Arial" w:cs="Arial"/>
                <w:sz w:val="20"/>
              </w:rPr>
            </w:pPr>
            <w:r w:rsidRPr="00B71F81">
              <w:rPr>
                <w:rFonts w:ascii="Arial" w:eastAsia="Arial" w:hAnsi="Arial" w:cs="Arial"/>
                <w:sz w:val="20"/>
              </w:rPr>
              <w:t xml:space="preserve"> </w:t>
            </w:r>
          </w:p>
        </w:tc>
        <w:tc>
          <w:tcPr>
            <w:tcW w:w="7232" w:type="dxa"/>
            <w:tcBorders>
              <w:top w:val="nil"/>
              <w:left w:val="nil"/>
              <w:bottom w:val="nil"/>
              <w:right w:val="nil"/>
            </w:tcBorders>
          </w:tcPr>
          <w:p w14:paraId="5FA83EF4" w14:textId="77777777" w:rsidR="00B71F81" w:rsidRDefault="00B71F81" w:rsidP="00B71F81">
            <w:pPr>
              <w:ind w:left="709" w:right="147"/>
              <w:jc w:val="both"/>
              <w:rPr>
                <w:rFonts w:ascii="Arial" w:eastAsia="Arial" w:hAnsi="Arial" w:cs="Arial"/>
                <w:b/>
                <w:sz w:val="20"/>
              </w:rPr>
            </w:pPr>
            <w:r w:rsidRPr="00B71F81">
              <w:rPr>
                <w:rFonts w:ascii="Arial" w:eastAsia="Arial" w:hAnsi="Arial" w:cs="Arial"/>
                <w:b/>
                <w:sz w:val="20"/>
              </w:rPr>
              <w:t>ESTUDIO DE PRE-OPERATIVIDAD (“</w:t>
            </w:r>
            <w:r w:rsidRPr="00B71F81">
              <w:rPr>
                <w:rFonts w:ascii="Arial" w:eastAsia="Arial" w:hAnsi="Arial" w:cs="Arial"/>
                <w:b/>
                <w:sz w:val="20"/>
                <w:u w:val="single" w:color="000000"/>
              </w:rPr>
              <w:t>EPO</w:t>
            </w:r>
            <w:r w:rsidRPr="00B71F81">
              <w:rPr>
                <w:rFonts w:ascii="Arial" w:eastAsia="Arial" w:hAnsi="Arial" w:cs="Arial"/>
                <w:b/>
                <w:sz w:val="20"/>
              </w:rPr>
              <w:t xml:space="preserve">”) PARA LA CONEXIÓN AL SEIN DE LA CENTRAL SOLAR FOTOVOLTAICA “CORAL” DE 403.2 MW. </w:t>
            </w:r>
          </w:p>
          <w:p w14:paraId="6AD4FDCD" w14:textId="1DE46FF8" w:rsidR="00B71F81" w:rsidRPr="00B71F81" w:rsidRDefault="00B71F81" w:rsidP="00B71F81">
            <w:pPr>
              <w:ind w:left="709" w:right="147"/>
              <w:jc w:val="both"/>
              <w:rPr>
                <w:rFonts w:ascii="Arial" w:eastAsia="Arial" w:hAnsi="Arial" w:cs="Arial"/>
                <w:sz w:val="20"/>
              </w:rPr>
            </w:pPr>
          </w:p>
        </w:tc>
      </w:tr>
      <w:tr w:rsidR="00B71F81" w:rsidRPr="00B71F81" w14:paraId="2EC99CB1" w14:textId="77777777" w:rsidTr="00DC1C23">
        <w:trPr>
          <w:trHeight w:val="209"/>
        </w:trPr>
        <w:tc>
          <w:tcPr>
            <w:tcW w:w="1418" w:type="dxa"/>
            <w:tcBorders>
              <w:top w:val="nil"/>
              <w:left w:val="nil"/>
              <w:bottom w:val="nil"/>
              <w:right w:val="nil"/>
            </w:tcBorders>
          </w:tcPr>
          <w:p w14:paraId="5731A010" w14:textId="77777777" w:rsidR="00B71F81" w:rsidRPr="00B71F81" w:rsidRDefault="00B71F81" w:rsidP="00DC1C23">
            <w:pPr>
              <w:ind w:left="709"/>
              <w:rPr>
                <w:rFonts w:ascii="Arial" w:eastAsia="Arial" w:hAnsi="Arial" w:cs="Arial"/>
                <w:sz w:val="20"/>
              </w:rPr>
            </w:pPr>
            <w:r w:rsidRPr="00B71F81">
              <w:rPr>
                <w:rFonts w:ascii="Arial" w:eastAsia="Arial" w:hAnsi="Arial" w:cs="Arial"/>
                <w:sz w:val="20"/>
              </w:rPr>
              <w:t xml:space="preserve">Referencia: </w:t>
            </w:r>
          </w:p>
        </w:tc>
        <w:tc>
          <w:tcPr>
            <w:tcW w:w="7232" w:type="dxa"/>
            <w:tcBorders>
              <w:top w:val="nil"/>
              <w:left w:val="nil"/>
              <w:bottom w:val="nil"/>
              <w:right w:val="nil"/>
            </w:tcBorders>
          </w:tcPr>
          <w:p w14:paraId="68103ABD" w14:textId="77777777" w:rsidR="00B71F81" w:rsidRDefault="00B71F81" w:rsidP="00B71F81">
            <w:pPr>
              <w:rPr>
                <w:rFonts w:ascii="Arial" w:eastAsia="Arial" w:hAnsi="Arial" w:cs="Arial"/>
                <w:sz w:val="20"/>
              </w:rPr>
            </w:pPr>
          </w:p>
          <w:p w14:paraId="25D67169" w14:textId="73FA6561" w:rsidR="00B71F81" w:rsidRPr="00B71F81" w:rsidRDefault="00B71F81" w:rsidP="00B71F81">
            <w:pPr>
              <w:rPr>
                <w:rFonts w:ascii="Arial" w:eastAsia="Arial" w:hAnsi="Arial" w:cs="Arial"/>
                <w:sz w:val="20"/>
              </w:rPr>
            </w:pPr>
            <w:r w:rsidRPr="00B71F81">
              <w:rPr>
                <w:rFonts w:ascii="Arial" w:eastAsia="Arial" w:hAnsi="Arial" w:cs="Arial"/>
                <w:sz w:val="20"/>
              </w:rPr>
              <w:t xml:space="preserve">(1) Carta COES/D/DP-089-2023 del 27 de enero del 2023. </w:t>
            </w:r>
          </w:p>
        </w:tc>
      </w:tr>
    </w:tbl>
    <w:p w14:paraId="078CFA16" w14:textId="77777777" w:rsidR="00B71F81" w:rsidRPr="00B71F81" w:rsidRDefault="00B71F81" w:rsidP="00B71F81">
      <w:pPr>
        <w:numPr>
          <w:ilvl w:val="0"/>
          <w:numId w:val="10"/>
        </w:numPr>
        <w:spacing w:after="4" w:line="250" w:lineRule="auto"/>
        <w:ind w:left="1985" w:right="608" w:hanging="284"/>
        <w:jc w:val="both"/>
        <w:rPr>
          <w:rFonts w:ascii="Arial" w:eastAsia="Arial" w:hAnsi="Arial" w:cs="Arial"/>
          <w:sz w:val="20"/>
          <w:lang w:eastAsia="es-PE"/>
        </w:rPr>
      </w:pPr>
      <w:r w:rsidRPr="00B71F81">
        <w:rPr>
          <w:rFonts w:ascii="Arial" w:eastAsia="Arial" w:hAnsi="Arial" w:cs="Arial"/>
          <w:sz w:val="20"/>
          <w:lang w:eastAsia="es-PE"/>
        </w:rPr>
        <w:t xml:space="preserve">Carta SPCC al COES del 16 de enero del 2023. </w:t>
      </w:r>
    </w:p>
    <w:p w14:paraId="4662D1EB" w14:textId="77777777" w:rsidR="00B71F81" w:rsidRPr="00B71F81" w:rsidRDefault="00B71F81" w:rsidP="00B71F81">
      <w:pPr>
        <w:numPr>
          <w:ilvl w:val="0"/>
          <w:numId w:val="10"/>
        </w:numPr>
        <w:spacing w:after="4" w:line="250" w:lineRule="auto"/>
        <w:ind w:left="1985" w:right="608" w:hanging="284"/>
        <w:jc w:val="both"/>
        <w:rPr>
          <w:rFonts w:ascii="Arial" w:eastAsia="Arial" w:hAnsi="Arial" w:cs="Arial"/>
          <w:sz w:val="20"/>
          <w:lang w:eastAsia="es-PE"/>
        </w:rPr>
      </w:pPr>
      <w:r w:rsidRPr="00B71F81">
        <w:rPr>
          <w:rFonts w:ascii="Arial" w:eastAsia="Arial" w:hAnsi="Arial" w:cs="Arial"/>
          <w:sz w:val="20"/>
          <w:lang w:eastAsia="es-PE"/>
        </w:rPr>
        <w:t xml:space="preserve">Carta COES/D/DP-007-2023 del 03 de enero del 2023. </w:t>
      </w:r>
    </w:p>
    <w:p w14:paraId="581BF97D" w14:textId="77777777" w:rsidR="00B71F81" w:rsidRPr="00B71F81" w:rsidRDefault="00B71F81" w:rsidP="00B71F81">
      <w:pPr>
        <w:numPr>
          <w:ilvl w:val="0"/>
          <w:numId w:val="10"/>
        </w:numPr>
        <w:spacing w:after="4" w:line="250" w:lineRule="auto"/>
        <w:ind w:left="1985" w:right="608" w:hanging="284"/>
        <w:jc w:val="both"/>
        <w:rPr>
          <w:rFonts w:ascii="Arial" w:eastAsia="Arial" w:hAnsi="Arial" w:cs="Arial"/>
          <w:sz w:val="20"/>
          <w:lang w:eastAsia="es-PE"/>
        </w:rPr>
      </w:pPr>
      <w:r w:rsidRPr="00B71F81">
        <w:rPr>
          <w:rFonts w:ascii="Arial" w:eastAsia="Arial" w:hAnsi="Arial" w:cs="Arial"/>
          <w:sz w:val="20"/>
          <w:lang w:eastAsia="es-PE"/>
        </w:rPr>
        <w:t xml:space="preserve">Carta SPCC al COES del 05 de agosto del 2022. </w:t>
      </w:r>
    </w:p>
    <w:p w14:paraId="443F1770" w14:textId="77777777" w:rsidR="00B71F81" w:rsidRPr="00B71F81" w:rsidRDefault="00B71F81" w:rsidP="00B71F81">
      <w:pPr>
        <w:numPr>
          <w:ilvl w:val="0"/>
          <w:numId w:val="10"/>
        </w:numPr>
        <w:spacing w:after="4" w:line="250" w:lineRule="auto"/>
        <w:ind w:left="1985" w:right="608" w:hanging="284"/>
        <w:jc w:val="both"/>
        <w:rPr>
          <w:rFonts w:ascii="Arial" w:eastAsia="Arial" w:hAnsi="Arial" w:cs="Arial"/>
          <w:sz w:val="20"/>
          <w:lang w:eastAsia="es-PE"/>
        </w:rPr>
      </w:pPr>
      <w:r w:rsidRPr="00B71F81">
        <w:rPr>
          <w:rFonts w:ascii="Arial" w:eastAsia="Arial" w:hAnsi="Arial" w:cs="Arial"/>
          <w:sz w:val="20"/>
          <w:lang w:eastAsia="es-PE"/>
        </w:rPr>
        <w:t xml:space="preserve">Carta SPCC GL&amp;RN-0055-2022 a IGNIS del 21 de diciembre del 2022 </w:t>
      </w:r>
    </w:p>
    <w:p w14:paraId="4372F429" w14:textId="77777777" w:rsidR="00B71F81" w:rsidRPr="00B71F81" w:rsidRDefault="00B71F81" w:rsidP="00B71F81">
      <w:pPr>
        <w:numPr>
          <w:ilvl w:val="0"/>
          <w:numId w:val="10"/>
        </w:numPr>
        <w:spacing w:after="4" w:line="250" w:lineRule="auto"/>
        <w:ind w:left="1985" w:right="608" w:hanging="284"/>
        <w:jc w:val="both"/>
        <w:rPr>
          <w:rFonts w:ascii="Arial" w:eastAsia="Arial" w:hAnsi="Arial" w:cs="Arial"/>
          <w:sz w:val="20"/>
          <w:lang w:eastAsia="es-PE"/>
        </w:rPr>
      </w:pPr>
      <w:r w:rsidRPr="00B71F81">
        <w:rPr>
          <w:rFonts w:ascii="Arial" w:eastAsia="Arial" w:hAnsi="Arial" w:cs="Arial"/>
          <w:sz w:val="20"/>
          <w:lang w:eastAsia="es-PE"/>
        </w:rPr>
        <w:t xml:space="preserve">Carta COES/D/DP-1179-2022 del 22 de agosto del 2022. </w:t>
      </w:r>
    </w:p>
    <w:p w14:paraId="2C0DA5E2" w14:textId="77777777" w:rsidR="00B71F81" w:rsidRPr="00B71F81" w:rsidRDefault="00B71F81" w:rsidP="00B71F81">
      <w:pPr>
        <w:spacing w:after="0"/>
        <w:ind w:left="709"/>
        <w:rPr>
          <w:rFonts w:ascii="Arial" w:eastAsia="Arial" w:hAnsi="Arial" w:cs="Arial"/>
          <w:sz w:val="20"/>
          <w:lang w:eastAsia="es-PE"/>
        </w:rPr>
      </w:pPr>
      <w:r w:rsidRPr="00B71F81">
        <w:rPr>
          <w:rFonts w:ascii="Arial" w:eastAsia="Arial" w:hAnsi="Arial" w:cs="Arial"/>
          <w:sz w:val="20"/>
          <w:lang w:eastAsia="es-PE"/>
        </w:rPr>
        <w:t xml:space="preserve">  </w:t>
      </w:r>
    </w:p>
    <w:p w14:paraId="22A1928A" w14:textId="77777777" w:rsidR="00B71F81" w:rsidRPr="00B71F81" w:rsidRDefault="00B71F81" w:rsidP="00B71F81">
      <w:pPr>
        <w:spacing w:after="4" w:line="250" w:lineRule="auto"/>
        <w:ind w:left="709" w:right="608"/>
        <w:jc w:val="both"/>
        <w:rPr>
          <w:rFonts w:ascii="Arial" w:hAnsi="Arial"/>
        </w:rPr>
      </w:pPr>
      <w:r w:rsidRPr="00B71F81">
        <w:rPr>
          <w:rFonts w:ascii="Arial" w:hAnsi="Arial"/>
        </w:rPr>
        <w:t xml:space="preserve">Estimados señores: </w:t>
      </w:r>
    </w:p>
    <w:p w14:paraId="2B7F7DE5" w14:textId="77777777" w:rsidR="00B71F81" w:rsidRPr="00B71F81" w:rsidRDefault="00B71F81" w:rsidP="00B71F81">
      <w:pPr>
        <w:spacing w:after="0"/>
        <w:ind w:left="709"/>
        <w:rPr>
          <w:rFonts w:ascii="Arial" w:hAnsi="Arial"/>
        </w:rPr>
      </w:pPr>
      <w:r w:rsidRPr="00B71F81">
        <w:rPr>
          <w:rFonts w:ascii="Arial" w:hAnsi="Arial"/>
        </w:rPr>
        <w:t xml:space="preserve"> </w:t>
      </w:r>
    </w:p>
    <w:p w14:paraId="550D71CA" w14:textId="77777777" w:rsidR="00B71F81" w:rsidRPr="00B71F81" w:rsidRDefault="00B71F81" w:rsidP="00B71F81">
      <w:pPr>
        <w:spacing w:after="4" w:line="250" w:lineRule="auto"/>
        <w:ind w:left="709" w:right="-1"/>
        <w:jc w:val="both"/>
        <w:rPr>
          <w:rFonts w:ascii="Arial" w:eastAsia="Arial" w:hAnsi="Arial" w:cs="Arial"/>
          <w:sz w:val="20"/>
          <w:lang w:eastAsia="es-PE"/>
        </w:rPr>
      </w:pPr>
      <w:r w:rsidRPr="00B71F81">
        <w:rPr>
          <w:rFonts w:ascii="Arial" w:hAnsi="Arial"/>
        </w:rPr>
        <w:t xml:space="preserve">Es grato dirigirnos a ustedes para responder, dentro del plazo otorgado y en representación de </w:t>
      </w:r>
      <w:proofErr w:type="spellStart"/>
      <w:r w:rsidRPr="00B71F81">
        <w:rPr>
          <w:rFonts w:ascii="Arial" w:hAnsi="Arial"/>
        </w:rPr>
        <w:t>Southern</w:t>
      </w:r>
      <w:proofErr w:type="spellEnd"/>
      <w:r w:rsidRPr="00B71F81">
        <w:rPr>
          <w:rFonts w:ascii="Arial" w:hAnsi="Arial"/>
        </w:rPr>
        <w:t xml:space="preserve"> Peru </w:t>
      </w:r>
      <w:proofErr w:type="spellStart"/>
      <w:r w:rsidRPr="00B71F81">
        <w:rPr>
          <w:rFonts w:ascii="Arial" w:hAnsi="Arial"/>
        </w:rPr>
        <w:t>Copper</w:t>
      </w:r>
      <w:proofErr w:type="spellEnd"/>
      <w:r w:rsidRPr="00B71F81">
        <w:rPr>
          <w:rFonts w:ascii="Arial" w:hAnsi="Arial"/>
        </w:rPr>
        <w:t xml:space="preserve"> </w:t>
      </w:r>
      <w:proofErr w:type="spellStart"/>
      <w:r w:rsidRPr="00B71F81">
        <w:rPr>
          <w:rFonts w:ascii="Arial" w:hAnsi="Arial"/>
        </w:rPr>
        <w:t>Corporation</w:t>
      </w:r>
      <w:proofErr w:type="spellEnd"/>
      <w:r w:rsidRPr="00B71F81">
        <w:rPr>
          <w:rFonts w:ascii="Arial" w:hAnsi="Arial"/>
        </w:rPr>
        <w:t xml:space="preserve">, Sucursal del Perú (en adelante, “SPCC”), la carta de la referencia (1), en la que solicitan nuestra opinión sobre la nueva versión del EPO de la Central Fotovoltaica Coral (en adelante, la “Central Coral”) y sobre la propuesta de </w:t>
      </w:r>
      <w:proofErr w:type="spellStart"/>
      <w:r w:rsidRPr="00B71F81">
        <w:rPr>
          <w:rFonts w:ascii="Arial" w:hAnsi="Arial"/>
        </w:rPr>
        <w:t>Ignis</w:t>
      </w:r>
      <w:proofErr w:type="spellEnd"/>
      <w:r w:rsidRPr="00B71F81">
        <w:rPr>
          <w:rFonts w:ascii="Arial" w:hAnsi="Arial"/>
        </w:rPr>
        <w:t xml:space="preserve"> </w:t>
      </w:r>
      <w:proofErr w:type="spellStart"/>
      <w:r w:rsidRPr="00B71F81">
        <w:rPr>
          <w:rFonts w:ascii="Arial" w:hAnsi="Arial"/>
        </w:rPr>
        <w:t>Partners</w:t>
      </w:r>
      <w:proofErr w:type="spellEnd"/>
      <w:r w:rsidRPr="00B71F81">
        <w:rPr>
          <w:rFonts w:ascii="Arial" w:hAnsi="Arial"/>
        </w:rPr>
        <w:t xml:space="preserve"> SL (en adelante, “</w:t>
      </w:r>
      <w:proofErr w:type="spellStart"/>
      <w:r w:rsidRPr="00B71F81">
        <w:rPr>
          <w:rFonts w:ascii="Arial" w:hAnsi="Arial"/>
        </w:rPr>
        <w:t>Ignis</w:t>
      </w:r>
      <w:proofErr w:type="spellEnd"/>
      <w:r w:rsidRPr="00B71F81">
        <w:rPr>
          <w:rFonts w:ascii="Arial" w:hAnsi="Arial"/>
        </w:rPr>
        <w:t>”) de repotenciar las líneas de transmisión de SPCC, como parte del desarrollo de la referida Central Coral.</w:t>
      </w:r>
      <w:r w:rsidRPr="00B71F81">
        <w:rPr>
          <w:rFonts w:ascii="Arial" w:eastAsia="Arial" w:hAnsi="Arial" w:cs="Arial"/>
          <w:sz w:val="20"/>
          <w:lang w:eastAsia="es-PE"/>
        </w:rPr>
        <w:t xml:space="preserve"> </w:t>
      </w:r>
    </w:p>
    <w:p w14:paraId="0338B157" w14:textId="77777777" w:rsidR="00B71F81" w:rsidRDefault="00B71F81" w:rsidP="00AC249D">
      <w:pPr>
        <w:pStyle w:val="Default"/>
        <w:ind w:left="720"/>
        <w:jc w:val="both"/>
        <w:rPr>
          <w:sz w:val="22"/>
          <w:szCs w:val="22"/>
        </w:rPr>
      </w:pPr>
    </w:p>
    <w:p w14:paraId="30E8BEC8" w14:textId="2DCBEC65" w:rsidR="00AC249D" w:rsidRPr="00D33FCD" w:rsidRDefault="00AC249D" w:rsidP="00AC249D">
      <w:pPr>
        <w:pStyle w:val="Default"/>
        <w:ind w:left="720"/>
        <w:jc w:val="both"/>
        <w:rPr>
          <w:sz w:val="22"/>
          <w:szCs w:val="22"/>
        </w:rPr>
      </w:pPr>
      <w:r w:rsidRPr="00D33FCD">
        <w:rPr>
          <w:sz w:val="22"/>
          <w:szCs w:val="22"/>
        </w:rPr>
        <w:t xml:space="preserve">Sobre la propuesta de repotenciar las líneas L-1398 (S.E. Plaza – S.E. Lixiviación) </w:t>
      </w:r>
      <w:bookmarkStart w:id="0" w:name="_Hlk127425651"/>
      <w:r w:rsidRPr="00D33FCD">
        <w:rPr>
          <w:sz w:val="22"/>
          <w:szCs w:val="22"/>
        </w:rPr>
        <w:t>y L-1389 (S.E. Millsite – S.E. Lixiviación)</w:t>
      </w:r>
      <w:bookmarkEnd w:id="0"/>
      <w:r w:rsidRPr="00D33FCD">
        <w:rPr>
          <w:sz w:val="22"/>
          <w:szCs w:val="22"/>
        </w:rPr>
        <w:t>, agradeceremos considerar lo siguiente, en la perspectiva de nuestro consumo de energía como empresa de gran minería:</w:t>
      </w:r>
    </w:p>
    <w:p w14:paraId="4D9902F4" w14:textId="77777777" w:rsidR="00AC249D" w:rsidRPr="00D33FCD" w:rsidRDefault="00AC249D" w:rsidP="00EB7BEE">
      <w:pPr>
        <w:pStyle w:val="Default"/>
        <w:ind w:left="720"/>
        <w:jc w:val="both"/>
        <w:rPr>
          <w:sz w:val="22"/>
          <w:szCs w:val="22"/>
        </w:rPr>
      </w:pPr>
    </w:p>
    <w:p w14:paraId="3044BD0C" w14:textId="6BEBBC05" w:rsidR="00824501" w:rsidRPr="00D33FCD" w:rsidRDefault="00824501" w:rsidP="00AC249D">
      <w:pPr>
        <w:pStyle w:val="Default"/>
        <w:numPr>
          <w:ilvl w:val="0"/>
          <w:numId w:val="9"/>
        </w:numPr>
        <w:jc w:val="both"/>
        <w:rPr>
          <w:sz w:val="22"/>
          <w:szCs w:val="22"/>
        </w:rPr>
      </w:pPr>
      <w:r w:rsidRPr="00D33FCD">
        <w:rPr>
          <w:sz w:val="22"/>
          <w:szCs w:val="22"/>
        </w:rPr>
        <w:t xml:space="preserve">Conforme a lo informado anteriormente, SPCC está realizando un proceso de evaluación de las capacidades de sus líneas de transmisión y de sus necesidades de repotenciación, para lo cual está considerando una serie de factores técnicos como las DMS (Distancias Mínimas de Seguridad) y el envejecimiento de las instalaciones de transmisión, por lo que su </w:t>
      </w:r>
      <w:r w:rsidRPr="00D33FCD">
        <w:rPr>
          <w:i/>
          <w:iCs/>
          <w:sz w:val="22"/>
          <w:szCs w:val="22"/>
        </w:rPr>
        <w:t xml:space="preserve">up-grade </w:t>
      </w:r>
      <w:r w:rsidRPr="00D33FCD">
        <w:rPr>
          <w:sz w:val="22"/>
          <w:szCs w:val="22"/>
        </w:rPr>
        <w:t xml:space="preserve">dependerá de la nueva calidad de servicio, continuidad y eficiencia en la transmisión a nuestras cargas (que principalmente son cargas de motores de torque constante y de las plantas electrolíticas de la refinería y de lixiviación). </w:t>
      </w:r>
    </w:p>
    <w:p w14:paraId="581552A5" w14:textId="77777777" w:rsidR="00824501" w:rsidRPr="00D33FCD" w:rsidRDefault="00824501" w:rsidP="00AC249D">
      <w:pPr>
        <w:pStyle w:val="Default"/>
        <w:ind w:left="1068"/>
        <w:jc w:val="both"/>
        <w:rPr>
          <w:sz w:val="22"/>
          <w:szCs w:val="22"/>
        </w:rPr>
      </w:pPr>
      <w:r w:rsidRPr="00D33FCD">
        <w:rPr>
          <w:sz w:val="22"/>
          <w:szCs w:val="22"/>
        </w:rPr>
        <w:t xml:space="preserve">El análisis correspondiente a las DMS y al envejecimiento de las instalaciones de transmisión se viene realizando en atención a lo solicitado por el COES en la carta de la referencia (6). Este trabajo requiere la modelación matemática con la toma de datos topográficos de todas las estructuras y de la catenaria de todos los vanos. </w:t>
      </w:r>
    </w:p>
    <w:p w14:paraId="45106340" w14:textId="69FF83CE" w:rsidR="00824501" w:rsidRPr="00D33FCD" w:rsidRDefault="00824501" w:rsidP="00AC249D">
      <w:pPr>
        <w:pStyle w:val="Default"/>
        <w:numPr>
          <w:ilvl w:val="0"/>
          <w:numId w:val="9"/>
        </w:numPr>
        <w:jc w:val="both"/>
        <w:rPr>
          <w:sz w:val="22"/>
          <w:szCs w:val="22"/>
        </w:rPr>
      </w:pPr>
      <w:r w:rsidRPr="00D33FCD">
        <w:rPr>
          <w:sz w:val="22"/>
          <w:szCs w:val="22"/>
        </w:rPr>
        <w:t xml:space="preserve">Luego de concluida la evaluación indicada en el punto precedente, SPCC estará en capacidad de evaluar las acciones necesarias para el incremento de capacidad de sus líneas de transmisión, considerando también sus proyecciones de demanda interna. </w:t>
      </w:r>
    </w:p>
    <w:p w14:paraId="155E2F50" w14:textId="45AEF173" w:rsidR="00824501" w:rsidRPr="00D33FCD" w:rsidRDefault="00824501" w:rsidP="00AC249D">
      <w:pPr>
        <w:pStyle w:val="Default"/>
        <w:numPr>
          <w:ilvl w:val="0"/>
          <w:numId w:val="9"/>
        </w:numPr>
        <w:jc w:val="both"/>
        <w:rPr>
          <w:sz w:val="22"/>
          <w:szCs w:val="22"/>
        </w:rPr>
      </w:pPr>
      <w:r w:rsidRPr="00D33FCD">
        <w:rPr>
          <w:sz w:val="22"/>
          <w:szCs w:val="22"/>
        </w:rPr>
        <w:t xml:space="preserve">En línea con lo expresado en nuestra comunicación anterior, esta circunstancia fue debidamente informada a </w:t>
      </w:r>
      <w:proofErr w:type="spellStart"/>
      <w:r w:rsidRPr="00D33FCD">
        <w:rPr>
          <w:sz w:val="22"/>
          <w:szCs w:val="22"/>
        </w:rPr>
        <w:t>Ignis</w:t>
      </w:r>
      <w:proofErr w:type="spellEnd"/>
      <w:r w:rsidRPr="00D33FCD">
        <w:rPr>
          <w:sz w:val="22"/>
          <w:szCs w:val="22"/>
        </w:rPr>
        <w:t xml:space="preserve"> en la carta de la referencia (5), en la que se indicó que no es posible evaluar repotenciaciones a las líneas de SPCC hasta la culminación del estudio antes mencionado. </w:t>
      </w:r>
    </w:p>
    <w:p w14:paraId="213B05BE" w14:textId="7058122D" w:rsidR="004B3BE7" w:rsidRPr="00D33FCD" w:rsidRDefault="004B3BE7" w:rsidP="00EB7BEE">
      <w:pPr>
        <w:pStyle w:val="Default"/>
        <w:ind w:left="720"/>
        <w:jc w:val="both"/>
        <w:rPr>
          <w:sz w:val="22"/>
          <w:szCs w:val="22"/>
        </w:rPr>
      </w:pPr>
    </w:p>
    <w:p w14:paraId="7DBE4579" w14:textId="2FC1A0CA" w:rsidR="004B3BE7" w:rsidRPr="00C8524F" w:rsidRDefault="005665CB" w:rsidP="00EB7BEE">
      <w:pPr>
        <w:pStyle w:val="Default"/>
        <w:ind w:left="720"/>
        <w:jc w:val="both"/>
        <w:rPr>
          <w:b/>
          <w:bCs/>
          <w:color w:val="0070C0"/>
          <w:sz w:val="22"/>
          <w:szCs w:val="22"/>
        </w:rPr>
      </w:pPr>
      <w:r w:rsidRPr="00C8524F">
        <w:rPr>
          <w:b/>
          <w:bCs/>
          <w:color w:val="0070C0"/>
          <w:sz w:val="22"/>
          <w:szCs w:val="22"/>
        </w:rPr>
        <w:t>Respuesta COES:</w:t>
      </w:r>
    </w:p>
    <w:p w14:paraId="3242255F" w14:textId="21158367" w:rsidR="005665CB" w:rsidRPr="00976331" w:rsidRDefault="005665CB" w:rsidP="00EB7BEE">
      <w:pPr>
        <w:pStyle w:val="Default"/>
        <w:ind w:left="720"/>
        <w:jc w:val="both"/>
        <w:rPr>
          <w:b/>
          <w:bCs/>
          <w:color w:val="0070C0"/>
          <w:sz w:val="22"/>
          <w:szCs w:val="22"/>
        </w:rPr>
      </w:pPr>
      <w:r w:rsidRPr="00C8524F">
        <w:rPr>
          <w:b/>
          <w:bCs/>
          <w:color w:val="0070C0"/>
          <w:sz w:val="22"/>
          <w:szCs w:val="22"/>
        </w:rPr>
        <w:t xml:space="preserve">Según lo indicado por SPCC </w:t>
      </w:r>
      <w:r w:rsidR="00970341" w:rsidRPr="00C8524F">
        <w:rPr>
          <w:b/>
          <w:bCs/>
          <w:color w:val="0070C0"/>
          <w:sz w:val="22"/>
          <w:szCs w:val="22"/>
        </w:rPr>
        <w:t>respecto a</w:t>
      </w:r>
      <w:r w:rsidRPr="00C8524F">
        <w:rPr>
          <w:b/>
          <w:bCs/>
          <w:color w:val="0070C0"/>
          <w:sz w:val="22"/>
          <w:szCs w:val="22"/>
        </w:rPr>
        <w:t xml:space="preserve"> la </w:t>
      </w:r>
      <w:r w:rsidR="00970341" w:rsidRPr="00C8524F">
        <w:rPr>
          <w:b/>
          <w:bCs/>
          <w:color w:val="0070C0"/>
          <w:sz w:val="22"/>
          <w:szCs w:val="22"/>
        </w:rPr>
        <w:t xml:space="preserve">propuesta de </w:t>
      </w:r>
      <w:r w:rsidRPr="00C8524F">
        <w:rPr>
          <w:b/>
          <w:bCs/>
          <w:color w:val="0070C0"/>
          <w:sz w:val="22"/>
          <w:szCs w:val="22"/>
        </w:rPr>
        <w:t xml:space="preserve">repotenciación </w:t>
      </w:r>
      <w:r w:rsidR="00385BFC" w:rsidRPr="00C8524F">
        <w:rPr>
          <w:b/>
          <w:bCs/>
          <w:color w:val="0070C0"/>
          <w:sz w:val="22"/>
          <w:szCs w:val="22"/>
        </w:rPr>
        <w:t>de</w:t>
      </w:r>
      <w:r w:rsidRPr="00C8524F">
        <w:rPr>
          <w:b/>
          <w:bCs/>
          <w:color w:val="0070C0"/>
          <w:sz w:val="22"/>
          <w:szCs w:val="22"/>
        </w:rPr>
        <w:t xml:space="preserve"> la empresa I</w:t>
      </w:r>
      <w:r w:rsidR="00970341" w:rsidRPr="00C8524F">
        <w:rPr>
          <w:b/>
          <w:bCs/>
          <w:color w:val="0070C0"/>
          <w:sz w:val="22"/>
          <w:szCs w:val="22"/>
        </w:rPr>
        <w:t>GNIS</w:t>
      </w:r>
      <w:r w:rsidRPr="00C8524F">
        <w:rPr>
          <w:b/>
          <w:bCs/>
          <w:color w:val="0070C0"/>
          <w:sz w:val="22"/>
          <w:szCs w:val="22"/>
        </w:rPr>
        <w:t xml:space="preserve"> de las líneas L-1398 (S.E. Plaza – S.E. </w:t>
      </w:r>
      <w:r w:rsidR="00970341" w:rsidRPr="00C8524F">
        <w:rPr>
          <w:b/>
          <w:bCs/>
          <w:color w:val="0070C0"/>
          <w:sz w:val="22"/>
          <w:szCs w:val="22"/>
        </w:rPr>
        <w:t>Lixiviación)</w:t>
      </w:r>
      <w:r w:rsidRPr="00C8524F">
        <w:rPr>
          <w:b/>
          <w:bCs/>
          <w:color w:val="0070C0"/>
          <w:sz w:val="22"/>
          <w:szCs w:val="22"/>
        </w:rPr>
        <w:t xml:space="preserve"> y </w:t>
      </w:r>
      <w:proofErr w:type="spellStart"/>
      <w:r w:rsidRPr="00C8524F">
        <w:rPr>
          <w:b/>
          <w:bCs/>
          <w:color w:val="0070C0"/>
          <w:sz w:val="22"/>
          <w:szCs w:val="22"/>
        </w:rPr>
        <w:t>y</w:t>
      </w:r>
      <w:proofErr w:type="spellEnd"/>
      <w:r w:rsidRPr="00C8524F">
        <w:rPr>
          <w:b/>
          <w:bCs/>
          <w:color w:val="0070C0"/>
          <w:sz w:val="22"/>
          <w:szCs w:val="22"/>
        </w:rPr>
        <w:t xml:space="preserve"> L-1389 (S.E. </w:t>
      </w:r>
      <w:proofErr w:type="spellStart"/>
      <w:r w:rsidRPr="00C8524F">
        <w:rPr>
          <w:b/>
          <w:bCs/>
          <w:color w:val="0070C0"/>
          <w:sz w:val="22"/>
          <w:szCs w:val="22"/>
        </w:rPr>
        <w:t>Millsite</w:t>
      </w:r>
      <w:proofErr w:type="spellEnd"/>
      <w:r w:rsidRPr="00C8524F">
        <w:rPr>
          <w:b/>
          <w:bCs/>
          <w:color w:val="0070C0"/>
          <w:sz w:val="22"/>
          <w:szCs w:val="22"/>
        </w:rPr>
        <w:t xml:space="preserve"> – S.E. Lixiviación)</w:t>
      </w:r>
      <w:r w:rsidR="00970341" w:rsidRPr="00C8524F">
        <w:rPr>
          <w:b/>
          <w:bCs/>
          <w:color w:val="0070C0"/>
          <w:sz w:val="22"/>
          <w:szCs w:val="22"/>
        </w:rPr>
        <w:t xml:space="preserve">, la evaluación de esta propuesta </w:t>
      </w:r>
      <w:r w:rsidRPr="00C8524F">
        <w:rPr>
          <w:b/>
          <w:bCs/>
          <w:color w:val="0070C0"/>
          <w:sz w:val="22"/>
          <w:szCs w:val="22"/>
        </w:rPr>
        <w:t>se realizar</w:t>
      </w:r>
      <w:r w:rsidR="00551268">
        <w:rPr>
          <w:b/>
          <w:bCs/>
          <w:color w:val="0070C0"/>
          <w:sz w:val="22"/>
          <w:szCs w:val="22"/>
        </w:rPr>
        <w:t>á</w:t>
      </w:r>
      <w:r w:rsidRPr="00C8524F">
        <w:rPr>
          <w:b/>
          <w:bCs/>
          <w:color w:val="0070C0"/>
          <w:sz w:val="22"/>
          <w:szCs w:val="22"/>
        </w:rPr>
        <w:t xml:space="preserve"> posteriormente a la culminación de evaluación de las capacidades de las líneas de transmisión de</w:t>
      </w:r>
      <w:r w:rsidR="00A24CB6" w:rsidRPr="00C8524F">
        <w:rPr>
          <w:b/>
          <w:bCs/>
          <w:color w:val="0070C0"/>
          <w:sz w:val="22"/>
          <w:szCs w:val="22"/>
        </w:rPr>
        <w:t xml:space="preserve"> SPCC.</w:t>
      </w:r>
      <w:r w:rsidR="00970341" w:rsidRPr="00C8524F">
        <w:rPr>
          <w:b/>
          <w:bCs/>
          <w:color w:val="0070C0"/>
          <w:sz w:val="22"/>
          <w:szCs w:val="22"/>
        </w:rPr>
        <w:t xml:space="preserve"> </w:t>
      </w:r>
      <w:r w:rsidR="00976331" w:rsidRPr="00976331">
        <w:rPr>
          <w:b/>
          <w:bCs/>
          <w:color w:val="0070C0"/>
          <w:sz w:val="22"/>
          <w:szCs w:val="22"/>
        </w:rPr>
        <w:t xml:space="preserve">Puesto que la repotenciación de las líneas es una medida complementaria a la implementación del esquema de desconexión/reducción de la generación del proyecto, </w:t>
      </w:r>
      <w:r w:rsidR="00FB45A1">
        <w:rPr>
          <w:b/>
          <w:bCs/>
          <w:color w:val="0070C0"/>
          <w:sz w:val="22"/>
          <w:szCs w:val="22"/>
        </w:rPr>
        <w:t xml:space="preserve">el cual es </w:t>
      </w:r>
      <w:r w:rsidR="0093260E">
        <w:rPr>
          <w:b/>
          <w:bCs/>
          <w:color w:val="0070C0"/>
          <w:sz w:val="22"/>
          <w:szCs w:val="22"/>
        </w:rPr>
        <w:t>suficiente por s</w:t>
      </w:r>
      <w:r w:rsidR="002C7126">
        <w:rPr>
          <w:b/>
          <w:bCs/>
          <w:color w:val="0070C0"/>
          <w:sz w:val="22"/>
          <w:szCs w:val="22"/>
        </w:rPr>
        <w:t>í</w:t>
      </w:r>
      <w:r w:rsidR="0093260E">
        <w:rPr>
          <w:b/>
          <w:bCs/>
          <w:color w:val="0070C0"/>
          <w:sz w:val="22"/>
          <w:szCs w:val="22"/>
        </w:rPr>
        <w:t xml:space="preserve"> solo para evitar las sobrecargas en contingencias, </w:t>
      </w:r>
      <w:r w:rsidR="0019480F">
        <w:rPr>
          <w:b/>
          <w:bCs/>
          <w:color w:val="0070C0"/>
          <w:sz w:val="22"/>
          <w:szCs w:val="22"/>
        </w:rPr>
        <w:t xml:space="preserve">la </w:t>
      </w:r>
      <w:r w:rsidR="00ED49CB">
        <w:rPr>
          <w:b/>
          <w:bCs/>
          <w:color w:val="0070C0"/>
          <w:sz w:val="22"/>
          <w:szCs w:val="22"/>
        </w:rPr>
        <w:t xml:space="preserve">actual </w:t>
      </w:r>
      <w:r w:rsidR="0019480F">
        <w:rPr>
          <w:b/>
          <w:bCs/>
          <w:color w:val="0070C0"/>
          <w:sz w:val="22"/>
          <w:szCs w:val="22"/>
        </w:rPr>
        <w:t xml:space="preserve">falta de definición </w:t>
      </w:r>
      <w:r w:rsidR="00ED49CB">
        <w:rPr>
          <w:b/>
          <w:bCs/>
          <w:color w:val="0070C0"/>
          <w:sz w:val="22"/>
          <w:szCs w:val="22"/>
        </w:rPr>
        <w:t xml:space="preserve">respecto a la posibilidad de repotenciar las líneas L-1398 y L-1389 no </w:t>
      </w:r>
      <w:r w:rsidR="005757F5">
        <w:rPr>
          <w:b/>
          <w:bCs/>
          <w:color w:val="0070C0"/>
          <w:sz w:val="22"/>
          <w:szCs w:val="22"/>
        </w:rPr>
        <w:t>constituye una razón técnica válida para desaprobar el EPO</w:t>
      </w:r>
      <w:r w:rsidR="00976331" w:rsidRPr="00976331">
        <w:rPr>
          <w:b/>
          <w:bCs/>
          <w:color w:val="0070C0"/>
          <w:sz w:val="22"/>
          <w:szCs w:val="22"/>
        </w:rPr>
        <w:t>.</w:t>
      </w:r>
    </w:p>
    <w:p w14:paraId="44BD66E1" w14:textId="77777777" w:rsidR="004B3BE7" w:rsidRPr="00D33FCD" w:rsidRDefault="004B3BE7" w:rsidP="00EB7BEE">
      <w:pPr>
        <w:pStyle w:val="Default"/>
        <w:ind w:left="720"/>
        <w:jc w:val="both"/>
        <w:rPr>
          <w:sz w:val="22"/>
          <w:szCs w:val="22"/>
        </w:rPr>
      </w:pPr>
    </w:p>
    <w:p w14:paraId="7D7D9B33" w14:textId="77777777" w:rsidR="00824501" w:rsidRPr="00D33FCD" w:rsidRDefault="00824501" w:rsidP="00EB7BEE">
      <w:pPr>
        <w:pStyle w:val="Default"/>
        <w:ind w:left="720"/>
        <w:jc w:val="both"/>
        <w:rPr>
          <w:sz w:val="22"/>
          <w:szCs w:val="22"/>
        </w:rPr>
      </w:pPr>
      <w:r w:rsidRPr="00D33FCD">
        <w:rPr>
          <w:sz w:val="22"/>
          <w:szCs w:val="22"/>
        </w:rPr>
        <w:t xml:space="preserve">Por otro lado, luego de revisar el modelo matemático y los estudios presentados en la carta de la referencia (1), SPCC ha verificado que se trataría de la misma información presentada en la carta de la referencia (3), a la que </w:t>
      </w:r>
      <w:proofErr w:type="spellStart"/>
      <w:r w:rsidRPr="00D33FCD">
        <w:rPr>
          <w:sz w:val="22"/>
          <w:szCs w:val="22"/>
        </w:rPr>
        <w:t>Ignis</w:t>
      </w:r>
      <w:proofErr w:type="spellEnd"/>
      <w:r w:rsidRPr="00D33FCD">
        <w:rPr>
          <w:sz w:val="22"/>
          <w:szCs w:val="22"/>
        </w:rPr>
        <w:t xml:space="preserve"> incorporó determinados comentarios a nuestras observaciones indicadas en las cartas de las referencias (4) y (5). No obstante, también hemos verificado que nuestros cuestionamientos de fondo al EPO aún subsisten. </w:t>
      </w:r>
    </w:p>
    <w:p w14:paraId="56B7E5F1" w14:textId="77777777" w:rsidR="00824501" w:rsidRPr="00D33FCD" w:rsidRDefault="00824501" w:rsidP="00EB7BEE">
      <w:pPr>
        <w:pStyle w:val="Default"/>
        <w:ind w:left="720"/>
        <w:jc w:val="both"/>
        <w:rPr>
          <w:sz w:val="22"/>
          <w:szCs w:val="22"/>
        </w:rPr>
      </w:pPr>
      <w:r w:rsidRPr="00D33FCD">
        <w:rPr>
          <w:sz w:val="22"/>
          <w:szCs w:val="22"/>
        </w:rPr>
        <w:t xml:space="preserve">En línea con lo anterior, luego de revisar la nueva versión del EPO de la Central Coral, indicamos los siguientes comentarios y problemática de naturaleza técnica: </w:t>
      </w:r>
    </w:p>
    <w:p w14:paraId="7037791C" w14:textId="053C7CB9" w:rsidR="00285F84" w:rsidRPr="00D33FCD" w:rsidRDefault="00285F84" w:rsidP="00285F84">
      <w:pPr>
        <w:pStyle w:val="Default"/>
        <w:rPr>
          <w:sz w:val="22"/>
          <w:szCs w:val="22"/>
        </w:rPr>
      </w:pPr>
    </w:p>
    <w:p w14:paraId="7C8966EC" w14:textId="3E3E61E6" w:rsidR="00EB7BEE" w:rsidRPr="00D33FCD" w:rsidRDefault="00EB7BEE" w:rsidP="00285F84">
      <w:pPr>
        <w:pStyle w:val="Default"/>
        <w:rPr>
          <w:sz w:val="22"/>
          <w:szCs w:val="22"/>
        </w:rPr>
      </w:pPr>
    </w:p>
    <w:p w14:paraId="7A3E7943" w14:textId="77777777" w:rsidR="00EB7BEE" w:rsidRPr="00D33FCD" w:rsidRDefault="00EB7BEE" w:rsidP="00285F84">
      <w:pPr>
        <w:pStyle w:val="Default"/>
        <w:rPr>
          <w:sz w:val="22"/>
          <w:szCs w:val="22"/>
        </w:rPr>
      </w:pPr>
    </w:p>
    <w:p w14:paraId="1B2E08E2" w14:textId="61B79FC1" w:rsidR="00285F84" w:rsidRPr="00D33FCD" w:rsidRDefault="00285F84" w:rsidP="00EB7BEE">
      <w:pPr>
        <w:pStyle w:val="Default"/>
        <w:numPr>
          <w:ilvl w:val="0"/>
          <w:numId w:val="7"/>
        </w:numPr>
        <w:ind w:left="709"/>
        <w:jc w:val="both"/>
        <w:rPr>
          <w:b/>
          <w:bCs/>
          <w:sz w:val="22"/>
          <w:szCs w:val="22"/>
        </w:rPr>
      </w:pPr>
      <w:r w:rsidRPr="00D33FCD">
        <w:rPr>
          <w:b/>
          <w:bCs/>
          <w:sz w:val="22"/>
          <w:szCs w:val="22"/>
        </w:rPr>
        <w:t>No se están considerando las sobrecargas en las líneas eléctricas de SPCC</w:t>
      </w:r>
      <w:r w:rsidR="00F20392" w:rsidRPr="00D33FCD">
        <w:rPr>
          <w:b/>
          <w:bCs/>
          <w:sz w:val="22"/>
          <w:szCs w:val="22"/>
        </w:rPr>
        <w:t>.</w:t>
      </w:r>
    </w:p>
    <w:p w14:paraId="48BFFDFF" w14:textId="77777777" w:rsidR="00760655" w:rsidRPr="00D33FCD" w:rsidRDefault="00760655" w:rsidP="00760655">
      <w:pPr>
        <w:pStyle w:val="Default"/>
        <w:ind w:left="720"/>
        <w:rPr>
          <w:sz w:val="22"/>
          <w:szCs w:val="22"/>
        </w:rPr>
      </w:pPr>
    </w:p>
    <w:p w14:paraId="5017742F" w14:textId="77777777" w:rsidR="00285F84" w:rsidRPr="00D33FCD" w:rsidRDefault="00285F84" w:rsidP="00EB7BEE">
      <w:pPr>
        <w:pStyle w:val="Default"/>
        <w:ind w:left="708"/>
        <w:jc w:val="both"/>
        <w:rPr>
          <w:sz w:val="22"/>
          <w:szCs w:val="22"/>
        </w:rPr>
      </w:pPr>
      <w:r w:rsidRPr="00D33FCD">
        <w:rPr>
          <w:sz w:val="22"/>
          <w:szCs w:val="22"/>
        </w:rPr>
        <w:t xml:space="preserve">Si durante la operación de la Central Coral se presenta una falla estructural en las torres que soportan las dos líneas L-2033 y L-2034 (las dos líneas van en la misma estructura y en especial la torre 4 a orillas del rio </w:t>
      </w:r>
      <w:proofErr w:type="spellStart"/>
      <w:r w:rsidRPr="00D33FCD">
        <w:rPr>
          <w:sz w:val="22"/>
          <w:szCs w:val="22"/>
        </w:rPr>
        <w:t>Osmore</w:t>
      </w:r>
      <w:proofErr w:type="spellEnd"/>
      <w:r w:rsidRPr="00D33FCD">
        <w:rPr>
          <w:sz w:val="22"/>
          <w:szCs w:val="22"/>
        </w:rPr>
        <w:t xml:space="preserve"> en la zona del puente Montalvo/Moquegua), se ocasionarán sobrecargas en todas las líneas de 138 kV de SPCC y no únicamente en las líneas L-1389 y L-1398 cuya repotenciación ha sido planteada por </w:t>
      </w:r>
      <w:proofErr w:type="spellStart"/>
      <w:r w:rsidRPr="00D33FCD">
        <w:rPr>
          <w:sz w:val="22"/>
          <w:szCs w:val="22"/>
        </w:rPr>
        <w:t>Ignis</w:t>
      </w:r>
      <w:proofErr w:type="spellEnd"/>
      <w:r w:rsidRPr="00D33FCD">
        <w:rPr>
          <w:sz w:val="22"/>
          <w:szCs w:val="22"/>
        </w:rPr>
        <w:t xml:space="preserve"> y que resultaría insuficiente. </w:t>
      </w:r>
    </w:p>
    <w:p w14:paraId="2ED0FDC0" w14:textId="77777777" w:rsidR="00285F84" w:rsidRPr="00D33FCD" w:rsidRDefault="00285F84" w:rsidP="004B3BE7">
      <w:pPr>
        <w:pStyle w:val="Default"/>
        <w:ind w:left="708"/>
        <w:jc w:val="both"/>
        <w:rPr>
          <w:sz w:val="22"/>
          <w:szCs w:val="22"/>
        </w:rPr>
      </w:pPr>
      <w:r w:rsidRPr="00D33FCD">
        <w:rPr>
          <w:sz w:val="22"/>
          <w:szCs w:val="22"/>
        </w:rPr>
        <w:t xml:space="preserve">Por ello, SPCC insiste en que, para la conexión de la Central Coral en la barra de 220kV de la S.E. Ilo 3, </w:t>
      </w:r>
      <w:proofErr w:type="spellStart"/>
      <w:r w:rsidRPr="00D33FCD">
        <w:rPr>
          <w:sz w:val="22"/>
          <w:szCs w:val="22"/>
        </w:rPr>
        <w:t>Ignis</w:t>
      </w:r>
      <w:proofErr w:type="spellEnd"/>
      <w:r w:rsidRPr="00D33FCD">
        <w:rPr>
          <w:sz w:val="22"/>
          <w:szCs w:val="22"/>
        </w:rPr>
        <w:t xml:space="preserve"> debe evaluar una conexión en 500 kV o el incremento de capacidad de todas las líneas de SPCC que se afectarán por el ingreso de la Central Coral de 403 MW. Reiteramos que el Sistema de Rechazo de Generación como propuesta de operación normal es una condición de operación N-2 que no se encuentra prevista en el PR 20 y que no puede ser aceptada por SPCC, al resultar incompatible con nuestros estándares operativos. En caso la evaluación no sea realizada por </w:t>
      </w:r>
      <w:proofErr w:type="spellStart"/>
      <w:r w:rsidRPr="00D33FCD">
        <w:rPr>
          <w:sz w:val="22"/>
          <w:szCs w:val="22"/>
        </w:rPr>
        <w:t>Ignis</w:t>
      </w:r>
      <w:proofErr w:type="spellEnd"/>
      <w:r w:rsidRPr="00D33FCD">
        <w:rPr>
          <w:sz w:val="22"/>
          <w:szCs w:val="22"/>
        </w:rPr>
        <w:t xml:space="preserve">, instamos al COES a realizarla e implementar el referido incremento de capacidad en el siguiente Plan de Transmisión del SEIN con una S.E. tipo HUB de 500/220 KV. </w:t>
      </w:r>
    </w:p>
    <w:p w14:paraId="22A37DF4" w14:textId="73E45887" w:rsidR="00285F84" w:rsidRDefault="00285F84" w:rsidP="004B3BE7">
      <w:pPr>
        <w:pStyle w:val="Default"/>
        <w:ind w:left="708"/>
        <w:jc w:val="both"/>
        <w:rPr>
          <w:sz w:val="22"/>
          <w:szCs w:val="22"/>
        </w:rPr>
      </w:pPr>
      <w:r w:rsidRPr="00D33FCD">
        <w:rPr>
          <w:sz w:val="22"/>
          <w:szCs w:val="22"/>
        </w:rPr>
        <w:t xml:space="preserve">Para acreditar lo expresado en el párrafo precedente, en el siguiente cuadro (cuadro 87 extraído del último EPO de la Central Coral) se detalla la real afectación de todas las líneas de transmisión de 138kV, lo que evidencia que se </w:t>
      </w:r>
      <w:r w:rsidRPr="005E6D44">
        <w:rPr>
          <w:sz w:val="22"/>
          <w:szCs w:val="22"/>
        </w:rPr>
        <w:t>afectaría el proceso minero metalúrgico de SPCC ante una condición de falla de la L-2033 y L-2034. Cabe añadir que el EPO no muestra las variaciones estacionarias de voltajes que ocasionarán las sobrecargas en el caso de que el esquema de rechazo de generación opere fuera de tiempo o falle la red de comunicaciones.</w:t>
      </w:r>
    </w:p>
    <w:p w14:paraId="1A252A42" w14:textId="1ED2D928" w:rsidR="00E1485E" w:rsidRDefault="00E1485E" w:rsidP="004B3BE7">
      <w:pPr>
        <w:pStyle w:val="Default"/>
        <w:ind w:left="708"/>
        <w:jc w:val="both"/>
        <w:rPr>
          <w:sz w:val="22"/>
          <w:szCs w:val="22"/>
        </w:rPr>
      </w:pPr>
    </w:p>
    <w:p w14:paraId="19E18955" w14:textId="1FBC306B" w:rsidR="00E1485E" w:rsidRPr="00D33FCD" w:rsidRDefault="00E1485E" w:rsidP="004B3BE7">
      <w:pPr>
        <w:pStyle w:val="Default"/>
        <w:ind w:left="708"/>
        <w:jc w:val="both"/>
        <w:rPr>
          <w:sz w:val="22"/>
          <w:szCs w:val="22"/>
        </w:rPr>
      </w:pPr>
      <w:r>
        <w:rPr>
          <w:noProof/>
        </w:rPr>
        <w:drawing>
          <wp:inline distT="0" distB="0" distL="0" distR="0" wp14:anchorId="119A338B" wp14:editId="684833EF">
            <wp:extent cx="4894418" cy="201958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13481" cy="2027447"/>
                    </a:xfrm>
                    <a:prstGeom prst="rect">
                      <a:avLst/>
                    </a:prstGeom>
                  </pic:spPr>
                </pic:pic>
              </a:graphicData>
            </a:graphic>
          </wp:inline>
        </w:drawing>
      </w:r>
    </w:p>
    <w:p w14:paraId="5B94C22B" w14:textId="77777777" w:rsidR="00760655" w:rsidRPr="00D33FCD" w:rsidRDefault="00760655" w:rsidP="00D75AF9">
      <w:pPr>
        <w:jc w:val="both"/>
        <w:rPr>
          <w:rFonts w:ascii="Arial" w:hAnsi="Arial" w:cs="Arial"/>
          <w:lang w:val="es-MX"/>
        </w:rPr>
      </w:pPr>
    </w:p>
    <w:p w14:paraId="740366A0" w14:textId="77777777" w:rsidR="00DA510B" w:rsidRPr="00385BFC" w:rsidRDefault="00D75AF9" w:rsidP="004B3BE7">
      <w:pPr>
        <w:ind w:firstLine="708"/>
        <w:jc w:val="both"/>
        <w:rPr>
          <w:rFonts w:ascii="Arial" w:hAnsi="Arial" w:cs="Arial"/>
          <w:b/>
          <w:bCs/>
          <w:color w:val="0070C0"/>
          <w:lang w:val="es-MX"/>
        </w:rPr>
      </w:pPr>
      <w:r w:rsidRPr="00385BFC">
        <w:rPr>
          <w:rFonts w:ascii="Arial" w:hAnsi="Arial" w:cs="Arial"/>
          <w:b/>
          <w:bCs/>
          <w:color w:val="0070C0"/>
          <w:lang w:val="es-MX"/>
        </w:rPr>
        <w:t>R</w:t>
      </w:r>
      <w:r w:rsidR="00760655" w:rsidRPr="00385BFC">
        <w:rPr>
          <w:rFonts w:ascii="Arial" w:hAnsi="Arial" w:cs="Arial"/>
          <w:b/>
          <w:bCs/>
          <w:color w:val="0070C0"/>
          <w:lang w:val="es-MX"/>
        </w:rPr>
        <w:t>espuesta COES</w:t>
      </w:r>
      <w:r w:rsidRPr="00385BFC">
        <w:rPr>
          <w:rFonts w:ascii="Arial" w:hAnsi="Arial" w:cs="Arial"/>
          <w:b/>
          <w:bCs/>
          <w:color w:val="0070C0"/>
          <w:lang w:val="es-MX"/>
        </w:rPr>
        <w:t>:</w:t>
      </w:r>
    </w:p>
    <w:p w14:paraId="058D61EB" w14:textId="7C3C12F5" w:rsidR="00D75AF9" w:rsidRPr="00385BFC" w:rsidRDefault="00D75AF9" w:rsidP="00A63FAE">
      <w:pPr>
        <w:ind w:left="709"/>
        <w:jc w:val="both"/>
        <w:rPr>
          <w:rFonts w:ascii="Arial" w:hAnsi="Arial" w:cs="Arial"/>
          <w:b/>
          <w:bCs/>
          <w:color w:val="0070C0"/>
          <w:lang w:val="es-MX"/>
        </w:rPr>
      </w:pPr>
      <w:r w:rsidRPr="00385BFC">
        <w:rPr>
          <w:rFonts w:ascii="Arial" w:hAnsi="Arial" w:cs="Arial"/>
          <w:b/>
          <w:bCs/>
          <w:color w:val="0070C0"/>
          <w:lang w:val="es-MX"/>
        </w:rPr>
        <w:t>En el EPO</w:t>
      </w:r>
      <w:r w:rsidR="00C4040C" w:rsidRPr="00385BFC">
        <w:rPr>
          <w:rFonts w:ascii="Arial" w:hAnsi="Arial" w:cs="Arial"/>
          <w:b/>
          <w:bCs/>
          <w:color w:val="0070C0"/>
          <w:lang w:val="es-MX"/>
        </w:rPr>
        <w:t>,</w:t>
      </w:r>
      <w:r w:rsidRPr="00385BFC">
        <w:rPr>
          <w:rFonts w:ascii="Arial" w:hAnsi="Arial" w:cs="Arial"/>
          <w:b/>
          <w:bCs/>
          <w:color w:val="0070C0"/>
          <w:lang w:val="es-MX"/>
        </w:rPr>
        <w:t xml:space="preserve"> sí se considera las sobrecargas </w:t>
      </w:r>
      <w:r w:rsidR="00154C81" w:rsidRPr="00385BFC">
        <w:rPr>
          <w:rFonts w:ascii="Arial" w:hAnsi="Arial" w:cs="Arial"/>
          <w:b/>
          <w:bCs/>
          <w:color w:val="0070C0"/>
          <w:lang w:val="es-MX"/>
        </w:rPr>
        <w:t xml:space="preserve">provocadas por </w:t>
      </w:r>
      <w:r w:rsidR="00C4040C" w:rsidRPr="00385BFC">
        <w:rPr>
          <w:rFonts w:ascii="Arial" w:hAnsi="Arial" w:cs="Arial"/>
          <w:b/>
          <w:bCs/>
          <w:color w:val="0070C0"/>
          <w:lang w:val="es-MX"/>
        </w:rPr>
        <w:t xml:space="preserve">la contingencia mencionada </w:t>
      </w:r>
      <w:r w:rsidRPr="00385BFC">
        <w:rPr>
          <w:rFonts w:ascii="Arial" w:hAnsi="Arial" w:cs="Arial"/>
          <w:b/>
          <w:bCs/>
          <w:color w:val="0070C0"/>
          <w:lang w:val="es-MX"/>
        </w:rPr>
        <w:t>en las líneas de SPCC:</w:t>
      </w:r>
    </w:p>
    <w:p w14:paraId="1BF21FFB" w14:textId="77777777" w:rsidR="00D75AF9" w:rsidRPr="00385BFC" w:rsidRDefault="00D75AF9" w:rsidP="00D75AF9">
      <w:pPr>
        <w:pStyle w:val="ListParagraph"/>
        <w:numPr>
          <w:ilvl w:val="0"/>
          <w:numId w:val="2"/>
        </w:numPr>
        <w:rPr>
          <w:rFonts w:ascii="Arial" w:hAnsi="Arial" w:cs="Arial"/>
          <w:color w:val="0070C0"/>
        </w:rPr>
      </w:pPr>
      <w:r w:rsidRPr="00385BFC">
        <w:rPr>
          <w:rFonts w:ascii="Arial" w:hAnsi="Arial" w:cs="Arial"/>
          <w:color w:val="0070C0"/>
        </w:rPr>
        <w:t>Líneas de 220 kV L-2025/L-2026 Moquegua - Socabaya</w:t>
      </w:r>
    </w:p>
    <w:p w14:paraId="32C1AF16" w14:textId="77777777" w:rsidR="00D75AF9" w:rsidRPr="00385BFC" w:rsidRDefault="00D75AF9" w:rsidP="00D75AF9">
      <w:pPr>
        <w:pStyle w:val="ListParagraph"/>
        <w:numPr>
          <w:ilvl w:val="0"/>
          <w:numId w:val="0"/>
        </w:numPr>
        <w:ind w:left="720"/>
        <w:rPr>
          <w:rFonts w:ascii="Arial" w:hAnsi="Arial" w:cs="Arial"/>
          <w:color w:val="0070C0"/>
        </w:rPr>
      </w:pPr>
      <w:r w:rsidRPr="00385BFC">
        <w:rPr>
          <w:rFonts w:ascii="Arial" w:hAnsi="Arial" w:cs="Arial"/>
          <w:color w:val="0070C0"/>
        </w:rPr>
        <w:t>Líneas de 138 kV:</w:t>
      </w:r>
    </w:p>
    <w:p w14:paraId="4B669CBC" w14:textId="77777777" w:rsidR="00D75AF9" w:rsidRPr="00385BFC" w:rsidRDefault="00D75AF9" w:rsidP="00D75AF9">
      <w:pPr>
        <w:pStyle w:val="ListParagraph"/>
        <w:numPr>
          <w:ilvl w:val="0"/>
          <w:numId w:val="2"/>
        </w:numPr>
        <w:rPr>
          <w:rFonts w:ascii="Arial" w:hAnsi="Arial" w:cs="Arial"/>
          <w:color w:val="0070C0"/>
        </w:rPr>
      </w:pPr>
      <w:r w:rsidRPr="00385BFC">
        <w:rPr>
          <w:rFonts w:ascii="Arial" w:hAnsi="Arial" w:cs="Arial"/>
          <w:color w:val="0070C0"/>
        </w:rPr>
        <w:t>L-1383 Ilo 1 - (</w:t>
      </w:r>
      <w:proofErr w:type="spellStart"/>
      <w:r w:rsidRPr="00385BFC">
        <w:rPr>
          <w:rFonts w:ascii="Arial" w:hAnsi="Arial" w:cs="Arial"/>
          <w:color w:val="0070C0"/>
        </w:rPr>
        <w:t>Sunilo</w:t>
      </w:r>
      <w:proofErr w:type="spellEnd"/>
      <w:r w:rsidRPr="00385BFC">
        <w:rPr>
          <w:rFonts w:ascii="Arial" w:hAnsi="Arial" w:cs="Arial"/>
          <w:color w:val="0070C0"/>
        </w:rPr>
        <w:t>) - Moquegua</w:t>
      </w:r>
    </w:p>
    <w:p w14:paraId="3A97A58C" w14:textId="77777777" w:rsidR="00D75AF9" w:rsidRPr="00385BFC" w:rsidRDefault="00D75AF9" w:rsidP="00D75AF9">
      <w:pPr>
        <w:pStyle w:val="ListParagraph"/>
        <w:numPr>
          <w:ilvl w:val="0"/>
          <w:numId w:val="2"/>
        </w:numPr>
        <w:rPr>
          <w:rFonts w:ascii="Arial" w:hAnsi="Arial" w:cs="Arial"/>
          <w:color w:val="0070C0"/>
        </w:rPr>
      </w:pPr>
      <w:r w:rsidRPr="00385BFC">
        <w:rPr>
          <w:rFonts w:ascii="Arial" w:hAnsi="Arial" w:cs="Arial"/>
          <w:color w:val="0070C0"/>
        </w:rPr>
        <w:t>L-1385/1 Plaza Toquepala - Quebrada Honda</w:t>
      </w:r>
    </w:p>
    <w:p w14:paraId="66B6D01D" w14:textId="77777777" w:rsidR="00D75AF9" w:rsidRPr="00385BFC" w:rsidRDefault="00D75AF9" w:rsidP="00D75AF9">
      <w:pPr>
        <w:pStyle w:val="ListParagraph"/>
        <w:numPr>
          <w:ilvl w:val="0"/>
          <w:numId w:val="2"/>
        </w:numPr>
        <w:rPr>
          <w:rFonts w:ascii="Arial" w:hAnsi="Arial" w:cs="Arial"/>
          <w:color w:val="0070C0"/>
        </w:rPr>
      </w:pPr>
      <w:r w:rsidRPr="00385BFC">
        <w:rPr>
          <w:rFonts w:ascii="Arial" w:hAnsi="Arial" w:cs="Arial"/>
          <w:color w:val="0070C0"/>
        </w:rPr>
        <w:t>L-1385/2 Quebrada Honda - Ilo3</w:t>
      </w:r>
    </w:p>
    <w:p w14:paraId="0E5AC3BA" w14:textId="77777777" w:rsidR="00D75AF9" w:rsidRPr="00385BFC" w:rsidRDefault="00D75AF9" w:rsidP="00D75AF9">
      <w:pPr>
        <w:pStyle w:val="ListParagraph"/>
        <w:numPr>
          <w:ilvl w:val="0"/>
          <w:numId w:val="2"/>
        </w:numPr>
        <w:rPr>
          <w:rFonts w:ascii="Arial" w:hAnsi="Arial" w:cs="Arial"/>
          <w:color w:val="0070C0"/>
        </w:rPr>
      </w:pPr>
      <w:r w:rsidRPr="00385BFC">
        <w:rPr>
          <w:rFonts w:ascii="Arial" w:hAnsi="Arial" w:cs="Arial"/>
          <w:color w:val="0070C0"/>
          <w:lang w:val="en-US"/>
        </w:rPr>
        <w:t xml:space="preserve">L-1386/1 </w:t>
      </w:r>
      <w:proofErr w:type="spellStart"/>
      <w:r w:rsidRPr="00385BFC">
        <w:rPr>
          <w:rFonts w:ascii="Arial" w:hAnsi="Arial" w:cs="Arial"/>
          <w:color w:val="0070C0"/>
        </w:rPr>
        <w:t>Botiflaca</w:t>
      </w:r>
      <w:proofErr w:type="spellEnd"/>
      <w:r w:rsidRPr="00385BFC">
        <w:rPr>
          <w:rFonts w:ascii="Arial" w:hAnsi="Arial" w:cs="Arial"/>
          <w:color w:val="0070C0"/>
        </w:rPr>
        <w:t xml:space="preserve"> - </w:t>
      </w:r>
      <w:proofErr w:type="spellStart"/>
      <w:r w:rsidRPr="00385BFC">
        <w:rPr>
          <w:rFonts w:ascii="Arial" w:hAnsi="Arial" w:cs="Arial"/>
          <w:color w:val="0070C0"/>
        </w:rPr>
        <w:t>Push</w:t>
      </w:r>
      <w:proofErr w:type="spellEnd"/>
      <w:r w:rsidRPr="00385BFC">
        <w:rPr>
          <w:rFonts w:ascii="Arial" w:hAnsi="Arial" w:cs="Arial"/>
          <w:color w:val="0070C0"/>
        </w:rPr>
        <w:t xml:space="preserve"> Back</w:t>
      </w:r>
    </w:p>
    <w:p w14:paraId="4B136C38" w14:textId="77777777" w:rsidR="00D75AF9" w:rsidRPr="00385BFC" w:rsidRDefault="00D75AF9" w:rsidP="00D75AF9">
      <w:pPr>
        <w:pStyle w:val="ListParagraph"/>
        <w:numPr>
          <w:ilvl w:val="0"/>
          <w:numId w:val="2"/>
        </w:numPr>
        <w:rPr>
          <w:rFonts w:ascii="Arial" w:hAnsi="Arial" w:cs="Arial"/>
          <w:color w:val="0070C0"/>
          <w:lang w:val="en-US"/>
        </w:rPr>
      </w:pPr>
      <w:r w:rsidRPr="00385BFC">
        <w:rPr>
          <w:rFonts w:ascii="Arial" w:hAnsi="Arial" w:cs="Arial"/>
          <w:color w:val="0070C0"/>
          <w:lang w:val="en-US"/>
        </w:rPr>
        <w:t>L-1386/2 Push Back - Mill Site</w:t>
      </w:r>
    </w:p>
    <w:p w14:paraId="432B7C48" w14:textId="77777777" w:rsidR="00D75AF9" w:rsidRPr="00385BFC" w:rsidRDefault="00D75AF9" w:rsidP="00D75AF9">
      <w:pPr>
        <w:pStyle w:val="ListParagraph"/>
        <w:numPr>
          <w:ilvl w:val="0"/>
          <w:numId w:val="2"/>
        </w:numPr>
        <w:rPr>
          <w:rFonts w:ascii="Arial" w:hAnsi="Arial" w:cs="Arial"/>
          <w:color w:val="0070C0"/>
        </w:rPr>
      </w:pPr>
      <w:r w:rsidRPr="00385BFC">
        <w:rPr>
          <w:rFonts w:ascii="Arial" w:hAnsi="Arial" w:cs="Arial"/>
          <w:color w:val="0070C0"/>
        </w:rPr>
        <w:t>L-1389 Mill Site – Lixiviación</w:t>
      </w:r>
    </w:p>
    <w:p w14:paraId="764BAB1F" w14:textId="77777777" w:rsidR="00D75AF9" w:rsidRPr="00385BFC" w:rsidRDefault="00D75AF9" w:rsidP="00D75AF9">
      <w:pPr>
        <w:pStyle w:val="ListParagraph"/>
        <w:numPr>
          <w:ilvl w:val="0"/>
          <w:numId w:val="2"/>
        </w:numPr>
        <w:rPr>
          <w:rFonts w:ascii="Arial" w:hAnsi="Arial" w:cs="Arial"/>
          <w:color w:val="0070C0"/>
        </w:rPr>
      </w:pPr>
      <w:r w:rsidRPr="00385BFC">
        <w:rPr>
          <w:rFonts w:ascii="Arial" w:hAnsi="Arial" w:cs="Arial"/>
          <w:color w:val="0070C0"/>
        </w:rPr>
        <w:t>L-1391 Ilo1 - Ilo ELS</w:t>
      </w:r>
    </w:p>
    <w:p w14:paraId="4FF0C3B7" w14:textId="77777777" w:rsidR="00D75AF9" w:rsidRPr="00385BFC" w:rsidRDefault="00D75AF9" w:rsidP="00D75AF9">
      <w:pPr>
        <w:pStyle w:val="ListParagraph"/>
        <w:numPr>
          <w:ilvl w:val="0"/>
          <w:numId w:val="2"/>
        </w:numPr>
        <w:rPr>
          <w:rFonts w:ascii="Arial" w:hAnsi="Arial" w:cs="Arial"/>
          <w:color w:val="0070C0"/>
        </w:rPr>
      </w:pPr>
      <w:r w:rsidRPr="00385BFC">
        <w:rPr>
          <w:rFonts w:ascii="Arial" w:hAnsi="Arial" w:cs="Arial"/>
          <w:color w:val="0070C0"/>
        </w:rPr>
        <w:t>L-1392 Ilo ELS - Ilo3</w:t>
      </w:r>
    </w:p>
    <w:p w14:paraId="62911C45" w14:textId="77777777" w:rsidR="00D75AF9" w:rsidRPr="00385BFC" w:rsidRDefault="00D75AF9" w:rsidP="00D75AF9">
      <w:pPr>
        <w:pStyle w:val="ListParagraph"/>
        <w:numPr>
          <w:ilvl w:val="0"/>
          <w:numId w:val="2"/>
        </w:numPr>
        <w:rPr>
          <w:rFonts w:ascii="Arial" w:hAnsi="Arial" w:cs="Arial"/>
          <w:color w:val="0070C0"/>
        </w:rPr>
      </w:pPr>
      <w:r w:rsidRPr="00385BFC">
        <w:rPr>
          <w:rFonts w:ascii="Arial" w:hAnsi="Arial" w:cs="Arial"/>
          <w:color w:val="0070C0"/>
        </w:rPr>
        <w:t>L-1398 Lixiviación - Plaza Toquepala</w:t>
      </w:r>
    </w:p>
    <w:p w14:paraId="73F66645" w14:textId="77777777" w:rsidR="00D75AF9" w:rsidRPr="00385BFC" w:rsidRDefault="00D75AF9" w:rsidP="00D75AF9">
      <w:pPr>
        <w:jc w:val="both"/>
        <w:rPr>
          <w:rFonts w:ascii="Arial" w:hAnsi="Arial" w:cs="Arial"/>
          <w:b/>
          <w:bCs/>
          <w:color w:val="0070C0"/>
          <w:lang w:val="es-MX"/>
        </w:rPr>
      </w:pPr>
    </w:p>
    <w:p w14:paraId="4EBE51C9" w14:textId="028A6CBA" w:rsidR="00D75AF9" w:rsidRPr="00385BFC" w:rsidRDefault="00D75AF9" w:rsidP="004B3BE7">
      <w:pPr>
        <w:ind w:left="708"/>
        <w:jc w:val="both"/>
        <w:rPr>
          <w:rFonts w:ascii="Arial" w:hAnsi="Arial" w:cs="Arial"/>
          <w:b/>
          <w:bCs/>
          <w:color w:val="0070C0"/>
          <w:lang w:val="es-MX"/>
        </w:rPr>
      </w:pPr>
      <w:r w:rsidRPr="00385BFC">
        <w:rPr>
          <w:rFonts w:ascii="Arial" w:hAnsi="Arial" w:cs="Arial"/>
          <w:b/>
          <w:bCs/>
          <w:color w:val="0070C0"/>
          <w:lang w:val="es-MX"/>
        </w:rPr>
        <w:t>Para mitigar dichas sobrecargas, el EPO prevé la implementación de un esquema de desconexión/reducción automática de la generación del Proyecto. En este EPO, la repotenciación de líneas es una medida complementaria al esquema, que tiene en cuenta que las líneas L-1389 y L-1398 son las que se ven más afectadas ante la contingencia doble de las líneas de 220 kV L-2033 y L-2034 (Moquegua – Ilo 3).</w:t>
      </w:r>
    </w:p>
    <w:p w14:paraId="76547B6F" w14:textId="77777777" w:rsidR="00D75AF9" w:rsidRPr="00385BFC" w:rsidRDefault="00D75AF9" w:rsidP="004B3BE7">
      <w:pPr>
        <w:ind w:left="708"/>
        <w:jc w:val="both"/>
        <w:rPr>
          <w:rFonts w:ascii="Arial" w:hAnsi="Arial" w:cs="Arial"/>
          <w:b/>
          <w:bCs/>
          <w:color w:val="0070C0"/>
          <w:lang w:val="es-MX"/>
        </w:rPr>
      </w:pPr>
      <w:r w:rsidRPr="00385BFC">
        <w:rPr>
          <w:rFonts w:ascii="Arial" w:hAnsi="Arial" w:cs="Arial"/>
          <w:b/>
          <w:bCs/>
          <w:color w:val="0070C0"/>
          <w:lang w:val="es-MX"/>
        </w:rPr>
        <w:t>El PR-20 actualmente vigente sí contempla la aplicación de esquemas de desconexión o reducción automática. En el numeral 6.2.2 del Anexo 2 del procedimiento, se señala:</w:t>
      </w:r>
    </w:p>
    <w:p w14:paraId="2210555A" w14:textId="77777777" w:rsidR="00D75AF9" w:rsidRPr="00385BFC" w:rsidRDefault="00D75AF9" w:rsidP="004B3BE7">
      <w:pPr>
        <w:ind w:left="708"/>
        <w:jc w:val="both"/>
        <w:rPr>
          <w:rFonts w:ascii="Arial" w:hAnsi="Arial" w:cs="Arial"/>
          <w:b/>
          <w:bCs/>
          <w:color w:val="0070C0"/>
          <w:lang w:val="es-MX"/>
        </w:rPr>
      </w:pPr>
      <w:r w:rsidRPr="00385BFC">
        <w:rPr>
          <w:rFonts w:ascii="Arial" w:hAnsi="Arial" w:cs="Arial"/>
          <w:b/>
          <w:bCs/>
          <w:i/>
          <w:iCs/>
          <w:color w:val="0070C0"/>
          <w:lang w:val="es-MX"/>
        </w:rPr>
        <w:t>“En los casos de proyectos de generación o de demanda, y de ser necesario para el cumplimiento de los indicadores de desempeño correspondientes a contingencias, el Gestor del Proyecto deberá considerar en el EPO la implementación de la desconexión o la reducción automáticas de potencia del Proyecto. Asimismo, deberá prever la instalación de medios de comunicación y control requeridos para dicha implementación. Las lógicas y ajustes requeridos podrán ser definidos en el Estudio de Operatividad.”</w:t>
      </w:r>
      <w:r w:rsidRPr="00385BFC">
        <w:rPr>
          <w:rFonts w:ascii="Arial" w:hAnsi="Arial" w:cs="Arial"/>
          <w:b/>
          <w:bCs/>
          <w:color w:val="0070C0"/>
          <w:lang w:val="es-MX"/>
        </w:rPr>
        <w:t xml:space="preserve"> </w:t>
      </w:r>
    </w:p>
    <w:p w14:paraId="67A71344" w14:textId="77777777" w:rsidR="00D75AF9" w:rsidRPr="00385BFC" w:rsidRDefault="00D75AF9" w:rsidP="004B3BE7">
      <w:pPr>
        <w:ind w:left="708"/>
        <w:jc w:val="both"/>
        <w:rPr>
          <w:rFonts w:ascii="Arial" w:hAnsi="Arial" w:cs="Arial"/>
          <w:b/>
          <w:bCs/>
          <w:color w:val="0070C0"/>
          <w:lang w:val="es-MX"/>
        </w:rPr>
      </w:pPr>
      <w:r w:rsidRPr="00385BFC">
        <w:rPr>
          <w:rFonts w:ascii="Arial" w:hAnsi="Arial" w:cs="Arial"/>
          <w:b/>
          <w:bCs/>
          <w:color w:val="0070C0"/>
          <w:lang w:val="es-MX"/>
        </w:rPr>
        <w:t xml:space="preserve">Con respecto al PR-20 que estaba vigente cuando fue presentado el EPO de CSF Coral, el Informe COES/DP/SNP-011-2019 que sustentó la “Situación no prevista en la aplicación del Procedimiento Técnico del COES </w:t>
      </w:r>
      <w:proofErr w:type="spellStart"/>
      <w:r w:rsidRPr="00385BFC">
        <w:rPr>
          <w:rFonts w:ascii="Arial" w:hAnsi="Arial" w:cs="Arial"/>
          <w:b/>
          <w:bCs/>
          <w:color w:val="0070C0"/>
          <w:lang w:val="es-MX"/>
        </w:rPr>
        <w:t>N°</w:t>
      </w:r>
      <w:proofErr w:type="spellEnd"/>
      <w:r w:rsidRPr="00385BFC">
        <w:rPr>
          <w:rFonts w:ascii="Arial" w:hAnsi="Arial" w:cs="Arial"/>
          <w:b/>
          <w:bCs/>
          <w:color w:val="0070C0"/>
          <w:lang w:val="es-MX"/>
        </w:rPr>
        <w:t xml:space="preserve"> 20” del documento COES/D-326-2019, aplicable a esa versión del PR-20, señala que:</w:t>
      </w:r>
    </w:p>
    <w:p w14:paraId="0F9B130A" w14:textId="77777777" w:rsidR="00D75AF9" w:rsidRPr="00385BFC" w:rsidRDefault="00D75AF9" w:rsidP="004B3BE7">
      <w:pPr>
        <w:ind w:left="708"/>
        <w:jc w:val="both"/>
        <w:rPr>
          <w:rFonts w:ascii="Arial" w:hAnsi="Arial" w:cs="Arial"/>
          <w:b/>
          <w:bCs/>
          <w:i/>
          <w:iCs/>
          <w:color w:val="0070C0"/>
          <w:lang w:val="es-MX"/>
        </w:rPr>
      </w:pPr>
      <w:r w:rsidRPr="00385BFC">
        <w:rPr>
          <w:rFonts w:ascii="Arial" w:hAnsi="Arial" w:cs="Arial"/>
          <w:b/>
          <w:bCs/>
          <w:i/>
          <w:iCs/>
          <w:color w:val="0070C0"/>
          <w:lang w:val="es-MX"/>
        </w:rPr>
        <w:t xml:space="preserve">“(…) a) En casos de sobrecarga en operación normal, es necesario que todos los proyectos de generación de la zona controlen automáticamente su generación en tiempo real mediante la implementación de esquemas de control y protección con sus respectivos medios de comunicación, que permitan la reducción automática de generación en forma rápida (en el orden de milisegundos) a fin de no sobrecargar las instalaciones de transmisión existentes. </w:t>
      </w:r>
    </w:p>
    <w:p w14:paraId="4B36195C" w14:textId="77777777" w:rsidR="00D75AF9" w:rsidRPr="00385BFC" w:rsidRDefault="00D75AF9" w:rsidP="004B3BE7">
      <w:pPr>
        <w:ind w:left="708"/>
        <w:jc w:val="both"/>
        <w:rPr>
          <w:rFonts w:ascii="Arial" w:hAnsi="Arial" w:cs="Arial"/>
          <w:b/>
          <w:bCs/>
          <w:i/>
          <w:iCs/>
          <w:color w:val="0070C0"/>
          <w:lang w:val="es-MX"/>
        </w:rPr>
      </w:pPr>
      <w:r w:rsidRPr="00385BFC">
        <w:rPr>
          <w:rFonts w:ascii="Arial" w:hAnsi="Arial" w:cs="Arial"/>
          <w:b/>
          <w:bCs/>
          <w:i/>
          <w:iCs/>
          <w:color w:val="0070C0"/>
          <w:lang w:val="es-MX"/>
        </w:rPr>
        <w:t>b) En casos de sobrecarga en contingencias, es necesario que los proyectos de generación de la zona reduzcan su generación, en forma automática y controlada, evitando que actúen las protecciones de las instalaciones sobrecargadas y la activación del Esquema de Rechazo Automático de Carga por Mínima Frecuencia (ERACMF). Para tal efecto, la disminución de generación debe ser del orden de milisegundos. (…)”</w:t>
      </w:r>
    </w:p>
    <w:p w14:paraId="7577B722" w14:textId="77777777" w:rsidR="00D75AF9" w:rsidRPr="00385BFC" w:rsidRDefault="00D75AF9" w:rsidP="004B3BE7">
      <w:pPr>
        <w:ind w:left="708"/>
        <w:jc w:val="both"/>
        <w:rPr>
          <w:rFonts w:ascii="Arial" w:hAnsi="Arial" w:cs="Arial"/>
          <w:b/>
          <w:bCs/>
          <w:color w:val="0070C0"/>
          <w:lang w:val="es-MX"/>
        </w:rPr>
      </w:pPr>
      <w:r w:rsidRPr="00385BFC">
        <w:rPr>
          <w:rFonts w:ascii="Arial" w:hAnsi="Arial" w:cs="Arial"/>
          <w:b/>
          <w:bCs/>
          <w:color w:val="0070C0"/>
          <w:lang w:val="es-MX"/>
        </w:rPr>
        <w:t>Con el sustento mencionado, fueron aprobados numerosos EPOs de proyectos de generación que tienen esquemas similares al de CSF Coral, tanto para operación normal como para contingencias.</w:t>
      </w:r>
    </w:p>
    <w:p w14:paraId="0CB995F4" w14:textId="515EC8F4" w:rsidR="00D75AF9" w:rsidRPr="00385BFC" w:rsidRDefault="00D75AF9" w:rsidP="004B3BE7">
      <w:pPr>
        <w:ind w:left="708"/>
        <w:jc w:val="both"/>
        <w:rPr>
          <w:rFonts w:ascii="Arial" w:hAnsi="Arial" w:cs="Arial"/>
          <w:b/>
          <w:bCs/>
          <w:color w:val="0070C0"/>
          <w:lang w:val="es-MX"/>
        </w:rPr>
      </w:pPr>
      <w:r w:rsidRPr="00385BFC">
        <w:rPr>
          <w:rFonts w:ascii="Arial" w:hAnsi="Arial" w:cs="Arial"/>
          <w:b/>
          <w:bCs/>
          <w:color w:val="0070C0"/>
          <w:lang w:val="es-MX"/>
        </w:rPr>
        <w:t xml:space="preserve">Cabe mencionar que el PR-20 vigente no exige el análisis de contingencias N-2 sino solamente N-1, </w:t>
      </w:r>
      <w:r w:rsidR="0086234C">
        <w:rPr>
          <w:rFonts w:ascii="Arial" w:hAnsi="Arial" w:cs="Arial"/>
          <w:b/>
          <w:bCs/>
          <w:color w:val="0070C0"/>
          <w:lang w:val="es-MX"/>
        </w:rPr>
        <w:t>sin embargo</w:t>
      </w:r>
      <w:r w:rsidR="0086234C" w:rsidRPr="00385BFC">
        <w:rPr>
          <w:rFonts w:ascii="Arial" w:hAnsi="Arial" w:cs="Arial"/>
          <w:b/>
          <w:bCs/>
          <w:color w:val="0070C0"/>
          <w:lang w:val="es-MX"/>
        </w:rPr>
        <w:t xml:space="preserve"> </w:t>
      </w:r>
      <w:r w:rsidRPr="00385BFC">
        <w:rPr>
          <w:rFonts w:ascii="Arial" w:hAnsi="Arial" w:cs="Arial"/>
          <w:b/>
          <w:bCs/>
          <w:color w:val="0070C0"/>
          <w:lang w:val="es-MX"/>
        </w:rPr>
        <w:t xml:space="preserve">la contingencia doble mencionada fue analizada a petición de ENGIE. </w:t>
      </w:r>
    </w:p>
    <w:p w14:paraId="67FB8194" w14:textId="20718892" w:rsidR="00926240" w:rsidRPr="00385BFC" w:rsidRDefault="00D75AF9" w:rsidP="004B3BE7">
      <w:pPr>
        <w:ind w:left="708"/>
        <w:jc w:val="both"/>
        <w:rPr>
          <w:rFonts w:ascii="Arial" w:hAnsi="Arial" w:cs="Arial"/>
          <w:b/>
          <w:bCs/>
          <w:color w:val="0070C0"/>
          <w:lang w:val="es-MX"/>
        </w:rPr>
      </w:pPr>
      <w:r w:rsidRPr="00385BFC">
        <w:rPr>
          <w:rFonts w:ascii="Arial" w:hAnsi="Arial" w:cs="Arial"/>
          <w:b/>
          <w:bCs/>
          <w:color w:val="0070C0"/>
          <w:lang w:val="es-MX"/>
        </w:rPr>
        <w:t>De otro lado, en la observación se señala que el esquema es incompatible con los estándares operativos de SPCC, sin explicar cuáles son dichos estándares y de qué manera son incompatibles. Sin perjuicio de ello, cabe indicar que los estándares que se evalúan en el EPO son solamente los consignados en el PR-20.</w:t>
      </w:r>
    </w:p>
    <w:p w14:paraId="4ADDF42A" w14:textId="22B85CAE" w:rsidR="00C72BF0" w:rsidRPr="00385BFC" w:rsidRDefault="00444174" w:rsidP="004B3BE7">
      <w:pPr>
        <w:ind w:left="708"/>
        <w:jc w:val="both"/>
        <w:rPr>
          <w:rFonts w:ascii="Arial" w:hAnsi="Arial" w:cs="Arial"/>
          <w:b/>
          <w:bCs/>
          <w:color w:val="0070C0"/>
          <w:lang w:val="es-MX"/>
        </w:rPr>
      </w:pPr>
      <w:r w:rsidRPr="00385BFC">
        <w:rPr>
          <w:rFonts w:ascii="Arial" w:hAnsi="Arial" w:cs="Arial"/>
          <w:b/>
          <w:bCs/>
          <w:color w:val="0070C0"/>
          <w:lang w:val="es-MX"/>
        </w:rPr>
        <w:t xml:space="preserve">Finalmente, en la observación se señala que </w:t>
      </w:r>
      <w:r w:rsidR="00F27AF5" w:rsidRPr="00385BFC">
        <w:rPr>
          <w:rFonts w:ascii="Arial" w:hAnsi="Arial" w:cs="Arial"/>
          <w:b/>
          <w:bCs/>
          <w:color w:val="0070C0"/>
          <w:lang w:val="es-MX"/>
        </w:rPr>
        <w:t>“</w:t>
      </w:r>
      <w:r w:rsidR="00A62C75" w:rsidRPr="00385BFC">
        <w:rPr>
          <w:rFonts w:ascii="Arial" w:hAnsi="Arial" w:cs="Arial"/>
          <w:b/>
          <w:bCs/>
          <w:color w:val="0070C0"/>
          <w:lang w:val="es-MX"/>
        </w:rPr>
        <w:t>el EPO no muestra las variaciones estacionarias de voltajes que ocasionarán las sobrecargas en el caso de que el esquema de rechazo de generación opere fuera de tiempo o falle la red de comunicaciones.</w:t>
      </w:r>
      <w:r w:rsidR="00F27AF5" w:rsidRPr="00385BFC">
        <w:rPr>
          <w:rFonts w:ascii="Arial" w:hAnsi="Arial" w:cs="Arial"/>
          <w:b/>
          <w:bCs/>
          <w:color w:val="0070C0"/>
          <w:lang w:val="es-MX"/>
        </w:rPr>
        <w:t>”</w:t>
      </w:r>
      <w:r w:rsidR="00996C4B" w:rsidRPr="00385BFC">
        <w:rPr>
          <w:rFonts w:ascii="Arial" w:hAnsi="Arial" w:cs="Arial"/>
          <w:b/>
          <w:bCs/>
          <w:color w:val="0070C0"/>
          <w:lang w:val="es-MX"/>
        </w:rPr>
        <w:t xml:space="preserve"> Al respecto, los resultados sin la actuación del esquema están reportados en el Informe de Estudios Eléctricos</w:t>
      </w:r>
      <w:r w:rsidR="00245A7A" w:rsidRPr="00385BFC">
        <w:rPr>
          <w:rFonts w:ascii="Arial" w:hAnsi="Arial" w:cs="Arial"/>
          <w:b/>
          <w:bCs/>
          <w:color w:val="0070C0"/>
          <w:lang w:val="es-MX"/>
        </w:rPr>
        <w:t>, incluyendo las tensiones</w:t>
      </w:r>
      <w:r w:rsidR="005A229F" w:rsidRPr="00385BFC">
        <w:rPr>
          <w:rFonts w:ascii="Arial" w:hAnsi="Arial" w:cs="Arial"/>
          <w:b/>
          <w:bCs/>
          <w:color w:val="0070C0"/>
          <w:lang w:val="es-MX"/>
        </w:rPr>
        <w:t xml:space="preserve"> en barras</w:t>
      </w:r>
      <w:r w:rsidR="00996C4B" w:rsidRPr="00385BFC">
        <w:rPr>
          <w:rFonts w:ascii="Arial" w:hAnsi="Arial" w:cs="Arial"/>
          <w:b/>
          <w:bCs/>
          <w:color w:val="0070C0"/>
          <w:lang w:val="es-MX"/>
        </w:rPr>
        <w:t>.</w:t>
      </w:r>
    </w:p>
    <w:p w14:paraId="2E80200F" w14:textId="77777777" w:rsidR="00444174" w:rsidRPr="00A63FAE" w:rsidRDefault="00444174" w:rsidP="004B3BE7">
      <w:pPr>
        <w:ind w:left="708"/>
        <w:jc w:val="both"/>
        <w:rPr>
          <w:rFonts w:ascii="Arial" w:hAnsi="Arial" w:cs="Arial"/>
          <w:b/>
          <w:bCs/>
          <w:lang w:val="es-MX"/>
        </w:rPr>
      </w:pPr>
    </w:p>
    <w:p w14:paraId="74AC89F5" w14:textId="24582BBF" w:rsidR="00285F84" w:rsidRPr="00D33FCD" w:rsidRDefault="00285F84" w:rsidP="004B3BE7">
      <w:pPr>
        <w:pStyle w:val="Default"/>
        <w:ind w:left="708"/>
        <w:jc w:val="both"/>
        <w:rPr>
          <w:sz w:val="22"/>
          <w:szCs w:val="22"/>
        </w:rPr>
      </w:pPr>
      <w:r w:rsidRPr="00D33FCD">
        <w:rPr>
          <w:b/>
          <w:bCs/>
          <w:sz w:val="22"/>
          <w:szCs w:val="22"/>
        </w:rPr>
        <w:t>2. Omisión de considerar otros proyectos solares al evaluar el ingreso de la Central Coral al SEIN.</w:t>
      </w:r>
    </w:p>
    <w:p w14:paraId="1A3561D6" w14:textId="77777777" w:rsidR="00285F84" w:rsidRPr="00D33FCD" w:rsidRDefault="00285F84" w:rsidP="004B3BE7">
      <w:pPr>
        <w:pStyle w:val="Default"/>
        <w:ind w:left="708"/>
        <w:rPr>
          <w:sz w:val="22"/>
          <w:szCs w:val="22"/>
        </w:rPr>
      </w:pPr>
    </w:p>
    <w:p w14:paraId="0CF6FC87" w14:textId="77777777" w:rsidR="00285F84" w:rsidRPr="00D33FCD" w:rsidRDefault="00285F84" w:rsidP="004B3BE7">
      <w:pPr>
        <w:pStyle w:val="Default"/>
        <w:ind w:left="708"/>
        <w:jc w:val="both"/>
        <w:rPr>
          <w:sz w:val="22"/>
          <w:szCs w:val="22"/>
        </w:rPr>
      </w:pPr>
      <w:r w:rsidRPr="00D33FCD">
        <w:rPr>
          <w:sz w:val="22"/>
          <w:szCs w:val="22"/>
        </w:rPr>
        <w:t xml:space="preserve">El EPO no considera en ninguno de sus escenarios los proyectos solares con </w:t>
      </w:r>
      <w:proofErr w:type="spellStart"/>
      <w:r w:rsidRPr="00D33FCD">
        <w:rPr>
          <w:sz w:val="22"/>
          <w:szCs w:val="22"/>
        </w:rPr>
        <w:t>EPOs</w:t>
      </w:r>
      <w:proofErr w:type="spellEnd"/>
      <w:r w:rsidRPr="00D33FCD">
        <w:rPr>
          <w:sz w:val="22"/>
          <w:szCs w:val="22"/>
        </w:rPr>
        <w:t xml:space="preserve"> ya aprobados por el COES (</w:t>
      </w:r>
      <w:proofErr w:type="spellStart"/>
      <w:r w:rsidRPr="00D33FCD">
        <w:rPr>
          <w:sz w:val="22"/>
          <w:szCs w:val="22"/>
        </w:rPr>
        <w:t>Hanaqpampa</w:t>
      </w:r>
      <w:proofErr w:type="spellEnd"/>
      <w:r w:rsidRPr="00D33FCD">
        <w:rPr>
          <w:sz w:val="22"/>
          <w:szCs w:val="22"/>
        </w:rPr>
        <w:t xml:space="preserve"> 300 MW y El Alto 76 MW) y cuya barra receptora de energía es la barra de la Subestación Moquegua. Al respecto, la CSF Coral 403 MW tendrá la barra de Moquegua como receptora, sin contar a la CSF Petra 100MW. El PR 20 no contiene normas que determinen la exclusión de ciertos proyectos (aprobados, desaprobados o en proceso) en los modelos matemáticos, por lo que SPCC exige que se consideren todos los </w:t>
      </w:r>
      <w:proofErr w:type="spellStart"/>
      <w:r w:rsidRPr="00D33FCD">
        <w:rPr>
          <w:sz w:val="22"/>
          <w:szCs w:val="22"/>
        </w:rPr>
        <w:t>EPOs</w:t>
      </w:r>
      <w:proofErr w:type="spellEnd"/>
      <w:r w:rsidRPr="00D33FCD">
        <w:rPr>
          <w:sz w:val="22"/>
          <w:szCs w:val="22"/>
        </w:rPr>
        <w:t xml:space="preserve"> existentes como condición indispensable para validar la seguridad de la conexión. </w:t>
      </w:r>
    </w:p>
    <w:p w14:paraId="7A4279D7" w14:textId="77777777" w:rsidR="00285F84" w:rsidRPr="00D33FCD" w:rsidRDefault="00285F84" w:rsidP="004B3BE7">
      <w:pPr>
        <w:pStyle w:val="Default"/>
        <w:ind w:left="708"/>
        <w:jc w:val="both"/>
        <w:rPr>
          <w:sz w:val="22"/>
          <w:szCs w:val="22"/>
        </w:rPr>
      </w:pPr>
      <w:r w:rsidRPr="00D33FCD">
        <w:rPr>
          <w:sz w:val="22"/>
          <w:szCs w:val="22"/>
        </w:rPr>
        <w:t xml:space="preserve">Pese a que SPCC ha solicitado en observaciones previas considerar dichos proyectos, estos no han sido incluidos; y, por el contrario, se ha considerado el proyecto </w:t>
      </w:r>
      <w:proofErr w:type="spellStart"/>
      <w:r w:rsidRPr="00D33FCD">
        <w:rPr>
          <w:sz w:val="22"/>
          <w:szCs w:val="22"/>
        </w:rPr>
        <w:t>Intimicha</w:t>
      </w:r>
      <w:proofErr w:type="spellEnd"/>
      <w:r w:rsidRPr="00D33FCD">
        <w:rPr>
          <w:sz w:val="22"/>
          <w:szCs w:val="22"/>
        </w:rPr>
        <w:t xml:space="preserve"> (70 MW) cuyo EPO fue rechazado en mayo de 2021. Además de la exigencia reglamentaria de que el EPO refleje las condiciones del SEIN considerando la mejor información disponible, la importancia de considerar los proyectos indicados radica en que su inclusión cambiará las conclusiones el EPO, ocasionando que: (i) la Central Coral no pueda despachar al 100% de su capacidad en condiciones de operación normal; y, (</w:t>
      </w:r>
      <w:proofErr w:type="spellStart"/>
      <w:r w:rsidRPr="00D33FCD">
        <w:rPr>
          <w:sz w:val="22"/>
          <w:szCs w:val="22"/>
        </w:rPr>
        <w:t>ii</w:t>
      </w:r>
      <w:proofErr w:type="spellEnd"/>
      <w:r w:rsidRPr="00D33FCD">
        <w:rPr>
          <w:sz w:val="22"/>
          <w:szCs w:val="22"/>
        </w:rPr>
        <w:t xml:space="preserve">) que se presenten desmejoras operativas en la red de transmisión de SPCC en los casos de contingencias. </w:t>
      </w:r>
    </w:p>
    <w:p w14:paraId="63493326" w14:textId="5C3FD553" w:rsidR="00285F84" w:rsidRPr="00D33FCD" w:rsidRDefault="00285F84" w:rsidP="004B3BE7">
      <w:pPr>
        <w:pStyle w:val="Default"/>
        <w:ind w:left="708"/>
        <w:jc w:val="both"/>
        <w:rPr>
          <w:sz w:val="22"/>
          <w:szCs w:val="22"/>
        </w:rPr>
      </w:pPr>
      <w:r w:rsidRPr="00D33FCD">
        <w:rPr>
          <w:sz w:val="22"/>
          <w:szCs w:val="22"/>
        </w:rPr>
        <w:t xml:space="preserve">En las siguientes imágenes obtenidas de la página Web del COES puede verse el estado de los tres (3) proyectos antes mencionados: </w:t>
      </w:r>
      <w:proofErr w:type="spellStart"/>
      <w:r w:rsidRPr="00D33FCD">
        <w:rPr>
          <w:sz w:val="22"/>
          <w:szCs w:val="22"/>
        </w:rPr>
        <w:t>Hanaqpampa</w:t>
      </w:r>
      <w:proofErr w:type="spellEnd"/>
      <w:r w:rsidRPr="00D33FCD">
        <w:rPr>
          <w:sz w:val="22"/>
          <w:szCs w:val="22"/>
        </w:rPr>
        <w:t xml:space="preserve">, El Alto e </w:t>
      </w:r>
      <w:proofErr w:type="spellStart"/>
      <w:r w:rsidRPr="00D33FCD">
        <w:rPr>
          <w:sz w:val="22"/>
          <w:szCs w:val="22"/>
        </w:rPr>
        <w:t>Intimicha</w:t>
      </w:r>
      <w:proofErr w:type="spellEnd"/>
      <w:r w:rsidRPr="00D33FCD">
        <w:rPr>
          <w:sz w:val="22"/>
          <w:szCs w:val="22"/>
        </w:rPr>
        <w:t xml:space="preserve"> (los dos primeros con </w:t>
      </w:r>
      <w:proofErr w:type="spellStart"/>
      <w:r w:rsidRPr="00D33FCD">
        <w:rPr>
          <w:sz w:val="22"/>
          <w:szCs w:val="22"/>
        </w:rPr>
        <w:t>EPOs</w:t>
      </w:r>
      <w:proofErr w:type="spellEnd"/>
      <w:r w:rsidRPr="00D33FCD">
        <w:rPr>
          <w:sz w:val="22"/>
          <w:szCs w:val="22"/>
        </w:rPr>
        <w:t xml:space="preserve"> aprobados y el último rechazado).</w:t>
      </w:r>
    </w:p>
    <w:p w14:paraId="17E7AA05" w14:textId="28FF603E" w:rsidR="0065549A" w:rsidRPr="00D33FCD" w:rsidRDefault="0065549A" w:rsidP="004B3BE7">
      <w:pPr>
        <w:pStyle w:val="Default"/>
        <w:ind w:left="708"/>
        <w:jc w:val="both"/>
        <w:rPr>
          <w:sz w:val="22"/>
          <w:szCs w:val="22"/>
        </w:rPr>
      </w:pPr>
    </w:p>
    <w:p w14:paraId="681BF7D9" w14:textId="77777777" w:rsidR="00F20392" w:rsidRPr="00D33FCD" w:rsidRDefault="00F20392" w:rsidP="004B3BE7">
      <w:pPr>
        <w:pStyle w:val="Default"/>
        <w:ind w:left="708"/>
        <w:jc w:val="both"/>
        <w:rPr>
          <w:sz w:val="22"/>
          <w:szCs w:val="22"/>
        </w:rPr>
      </w:pPr>
    </w:p>
    <w:p w14:paraId="4527F56E" w14:textId="77777777" w:rsidR="00F20392" w:rsidRPr="00385BFC" w:rsidRDefault="00F20392" w:rsidP="004B3BE7">
      <w:pPr>
        <w:ind w:left="708"/>
        <w:jc w:val="both"/>
        <w:rPr>
          <w:rFonts w:ascii="Arial" w:hAnsi="Arial" w:cs="Arial"/>
          <w:b/>
          <w:bCs/>
          <w:color w:val="0070C0"/>
          <w:lang w:val="es-MX"/>
        </w:rPr>
      </w:pPr>
      <w:r w:rsidRPr="00385BFC">
        <w:rPr>
          <w:rFonts w:ascii="Arial" w:hAnsi="Arial" w:cs="Arial"/>
          <w:b/>
          <w:bCs/>
          <w:color w:val="0070C0"/>
          <w:lang w:val="es-MX"/>
        </w:rPr>
        <w:t>Respuesta COES:</w:t>
      </w:r>
    </w:p>
    <w:p w14:paraId="21313F9E" w14:textId="1000A78F" w:rsidR="0065549A" w:rsidRPr="00385BFC" w:rsidRDefault="0065549A" w:rsidP="004B3BE7">
      <w:pPr>
        <w:ind w:left="708"/>
        <w:jc w:val="both"/>
        <w:rPr>
          <w:rFonts w:ascii="Arial" w:hAnsi="Arial" w:cs="Arial"/>
          <w:b/>
          <w:bCs/>
          <w:color w:val="0070C0"/>
          <w:lang w:val="es-MX"/>
        </w:rPr>
      </w:pPr>
      <w:r w:rsidRPr="00385BFC">
        <w:rPr>
          <w:rFonts w:ascii="Arial" w:hAnsi="Arial" w:cs="Arial"/>
          <w:b/>
          <w:bCs/>
          <w:color w:val="0070C0"/>
          <w:lang w:val="es-MX"/>
        </w:rPr>
        <w:t>El PR-20 sí señala cuáles son los proyectos que deben ser considerados en el EPO. El numeral 9.4 del PR-20 que se encontraba vigente cuando fue presentado el presente EPO señalaba que:</w:t>
      </w:r>
    </w:p>
    <w:p w14:paraId="79624765" w14:textId="77777777" w:rsidR="0065549A" w:rsidRPr="00385BFC" w:rsidRDefault="0065549A" w:rsidP="004B3BE7">
      <w:pPr>
        <w:ind w:left="708"/>
        <w:jc w:val="both"/>
        <w:rPr>
          <w:rFonts w:ascii="Arial" w:hAnsi="Arial" w:cs="Arial"/>
          <w:b/>
          <w:bCs/>
          <w:i/>
          <w:iCs/>
          <w:color w:val="0070C0"/>
          <w:lang w:val="es-MX"/>
        </w:rPr>
      </w:pPr>
      <w:r w:rsidRPr="00385BFC">
        <w:rPr>
          <w:rFonts w:ascii="Arial" w:hAnsi="Arial" w:cs="Arial"/>
          <w:b/>
          <w:bCs/>
          <w:i/>
          <w:iCs/>
          <w:color w:val="0070C0"/>
          <w:lang w:val="es-MX"/>
        </w:rPr>
        <w:t>“El EPO deberá desarrollarse sobre la base de instalaciones existentes, instalaciones en ejecución, proyectos que cuenten con un Certificado de Conformidad vigente o que se encuentran en el Plan de Transmisión aprobado”.</w:t>
      </w:r>
    </w:p>
    <w:p w14:paraId="4A59D3F8" w14:textId="77777777" w:rsidR="0065549A" w:rsidRPr="00385BFC" w:rsidRDefault="0065549A" w:rsidP="004B3BE7">
      <w:pPr>
        <w:ind w:left="708"/>
        <w:jc w:val="both"/>
        <w:rPr>
          <w:rFonts w:ascii="Arial" w:hAnsi="Arial" w:cs="Arial"/>
          <w:b/>
          <w:bCs/>
          <w:color w:val="0070C0"/>
          <w:lang w:val="es-MX"/>
        </w:rPr>
      </w:pPr>
      <w:r w:rsidRPr="00385BFC">
        <w:rPr>
          <w:rFonts w:ascii="Arial" w:hAnsi="Arial" w:cs="Arial"/>
          <w:b/>
          <w:bCs/>
          <w:color w:val="0070C0"/>
          <w:lang w:val="es-MX"/>
        </w:rPr>
        <w:t>Asimismo, el documento COES/D-326-2019 señalaba que:</w:t>
      </w:r>
    </w:p>
    <w:p w14:paraId="7325A8AF" w14:textId="77777777" w:rsidR="0065549A" w:rsidRPr="00385BFC" w:rsidRDefault="0065549A" w:rsidP="004B3BE7">
      <w:pPr>
        <w:ind w:left="708"/>
        <w:jc w:val="both"/>
        <w:rPr>
          <w:rFonts w:ascii="Arial" w:hAnsi="Arial" w:cs="Arial"/>
          <w:b/>
          <w:bCs/>
          <w:i/>
          <w:iCs/>
          <w:color w:val="0070C0"/>
          <w:lang w:val="es-MX"/>
        </w:rPr>
      </w:pPr>
      <w:r w:rsidRPr="00385BFC">
        <w:rPr>
          <w:rFonts w:ascii="Arial" w:hAnsi="Arial" w:cs="Arial"/>
          <w:b/>
          <w:bCs/>
          <w:i/>
          <w:iCs/>
          <w:color w:val="0070C0"/>
          <w:lang w:val="es-MX"/>
        </w:rPr>
        <w:t>“En caso de encontrarse en trámite en un mismo momento EPOs referidos a proyectos de generación que se conectan en un mismo Punto de Conexión o dentro de una misma zona de influencia, cada EPO deberá incluir la evaluación del impacto conjunto de los demás proyectos. El EPO deberá considerar los proyectos con EPO en trámite presentados con anterioridad al suyo, así como los proyectos correspondientes a EPOs que hayan sido presentados dentro de los treinta días calendario siguientes. De ser el caso, se exigirá lo necesario para la operación segura y eficiente del SEIN”.</w:t>
      </w:r>
    </w:p>
    <w:p w14:paraId="06C52861" w14:textId="77777777" w:rsidR="0065549A" w:rsidRPr="00D13870" w:rsidRDefault="0065549A" w:rsidP="004B3BE7">
      <w:pPr>
        <w:ind w:left="708"/>
        <w:jc w:val="both"/>
        <w:rPr>
          <w:rFonts w:ascii="Arial" w:hAnsi="Arial" w:cs="Arial"/>
          <w:b/>
          <w:bCs/>
          <w:lang w:val="es-MX"/>
        </w:rPr>
      </w:pPr>
      <w:r w:rsidRPr="00385BFC">
        <w:rPr>
          <w:rFonts w:ascii="Arial" w:hAnsi="Arial" w:cs="Arial"/>
          <w:b/>
          <w:bCs/>
          <w:color w:val="0070C0"/>
          <w:lang w:val="es-MX"/>
        </w:rPr>
        <w:t xml:space="preserve">En tal sentido, solamente era posible considerar los proyectos de generación cuyos EPOs fueron presentados como máximo 30 días calendario después de la presentación del EPO de CSF Coral, es decir, hasta el 21.04.21. Los EPOs de los proyectos CSF El Alto y CSF </w:t>
      </w:r>
      <w:proofErr w:type="spellStart"/>
      <w:r w:rsidRPr="00385BFC">
        <w:rPr>
          <w:rFonts w:ascii="Arial" w:hAnsi="Arial" w:cs="Arial"/>
          <w:b/>
          <w:bCs/>
          <w:color w:val="0070C0"/>
          <w:lang w:val="es-MX"/>
        </w:rPr>
        <w:t>Hanaqpampa</w:t>
      </w:r>
      <w:proofErr w:type="spellEnd"/>
      <w:r w:rsidRPr="00385BFC">
        <w:rPr>
          <w:rFonts w:ascii="Arial" w:hAnsi="Arial" w:cs="Arial"/>
          <w:b/>
          <w:bCs/>
          <w:color w:val="0070C0"/>
          <w:lang w:val="es-MX"/>
        </w:rPr>
        <w:t xml:space="preserve"> fueron presentados después de esa fecha, haciendo inviable su inclusión en el EPO; del mismo modo, el rechazo del EPO de CSF Intimicha se produjo después de esa fecha.</w:t>
      </w:r>
    </w:p>
    <w:p w14:paraId="645656A0" w14:textId="77777777" w:rsidR="0065549A" w:rsidRPr="00D33FCD" w:rsidRDefault="0065549A" w:rsidP="004B3BE7">
      <w:pPr>
        <w:pStyle w:val="Default"/>
        <w:ind w:left="708"/>
        <w:jc w:val="both"/>
        <w:rPr>
          <w:sz w:val="22"/>
          <w:szCs w:val="22"/>
          <w:lang w:val="es-MX"/>
        </w:rPr>
      </w:pPr>
    </w:p>
    <w:p w14:paraId="4324963E" w14:textId="27FE4C08" w:rsidR="00285F84" w:rsidRPr="00D33FCD" w:rsidRDefault="00285F84" w:rsidP="00D13870">
      <w:pPr>
        <w:pStyle w:val="Default"/>
        <w:ind w:left="708"/>
        <w:jc w:val="both"/>
        <w:rPr>
          <w:sz w:val="22"/>
          <w:szCs w:val="22"/>
        </w:rPr>
      </w:pPr>
      <w:r w:rsidRPr="00D33FCD">
        <w:rPr>
          <w:b/>
          <w:bCs/>
          <w:sz w:val="22"/>
          <w:szCs w:val="22"/>
        </w:rPr>
        <w:t>3. Impactos negativos no evaluados de las centrales térmicas de la zona centro del SEIN en conjunto con la Central Coral.</w:t>
      </w:r>
    </w:p>
    <w:p w14:paraId="6DA4AFD9" w14:textId="77777777" w:rsidR="00285F84" w:rsidRPr="00D33FCD" w:rsidRDefault="00285F84" w:rsidP="004B3BE7">
      <w:pPr>
        <w:pStyle w:val="Default"/>
        <w:ind w:left="708"/>
        <w:rPr>
          <w:sz w:val="22"/>
          <w:szCs w:val="22"/>
        </w:rPr>
      </w:pPr>
    </w:p>
    <w:p w14:paraId="61FB042D" w14:textId="6B7DBFE2" w:rsidR="00285F84" w:rsidRPr="00D33FCD" w:rsidRDefault="00285F84" w:rsidP="004B3BE7">
      <w:pPr>
        <w:pStyle w:val="Default"/>
        <w:ind w:left="708"/>
        <w:jc w:val="both"/>
        <w:rPr>
          <w:sz w:val="22"/>
          <w:szCs w:val="22"/>
        </w:rPr>
      </w:pPr>
      <w:r w:rsidRPr="00D33FCD">
        <w:rPr>
          <w:sz w:val="22"/>
          <w:szCs w:val="22"/>
        </w:rPr>
        <w:t>En la página 58 de los Estudios Eléctricos del EPO se indica que en el escenario base con el ingreso de Central Coral se afectará el despacho de las centrales del Centro: “</w:t>
      </w:r>
      <w:r w:rsidRPr="00D33FCD">
        <w:rPr>
          <w:i/>
          <w:iCs/>
          <w:sz w:val="22"/>
          <w:szCs w:val="22"/>
        </w:rPr>
        <w:t>Frente al ingreso de la central Coral despachando su máxima capacidad (400 MW), se ha reducido la generación de centrales térmicas en la zona Centro del SEIN, con la finalidad de mantener el balance entre demanda y generación</w:t>
      </w:r>
      <w:r w:rsidRPr="00D33FCD">
        <w:rPr>
          <w:sz w:val="22"/>
          <w:szCs w:val="22"/>
        </w:rPr>
        <w:t>”. Esta afectación de las centrales térmicas del centro representa un impacto adicional en la operación del SEIN que nos parece que ha sido ponderada en su real dimensión.</w:t>
      </w:r>
    </w:p>
    <w:p w14:paraId="52373C0F" w14:textId="2C07E823" w:rsidR="008E504A" w:rsidRPr="00D33FCD" w:rsidRDefault="008E504A" w:rsidP="004B3BE7">
      <w:pPr>
        <w:pStyle w:val="Default"/>
        <w:ind w:left="708"/>
        <w:rPr>
          <w:sz w:val="22"/>
          <w:szCs w:val="22"/>
        </w:rPr>
      </w:pPr>
    </w:p>
    <w:p w14:paraId="4E8780F5" w14:textId="77777777" w:rsidR="008E504A" w:rsidRPr="00385BFC" w:rsidRDefault="008E504A" w:rsidP="004B3BE7">
      <w:pPr>
        <w:ind w:left="708"/>
        <w:jc w:val="both"/>
        <w:rPr>
          <w:rFonts w:ascii="Arial" w:hAnsi="Arial" w:cs="Arial"/>
          <w:b/>
          <w:bCs/>
          <w:color w:val="0070C0"/>
          <w:lang w:val="es-MX"/>
        </w:rPr>
      </w:pPr>
      <w:r w:rsidRPr="00385BFC">
        <w:rPr>
          <w:rFonts w:ascii="Arial" w:hAnsi="Arial" w:cs="Arial"/>
          <w:b/>
          <w:bCs/>
          <w:color w:val="0070C0"/>
          <w:lang w:val="es-MX"/>
        </w:rPr>
        <w:t>Respuesta COES:</w:t>
      </w:r>
    </w:p>
    <w:p w14:paraId="5C6128A1" w14:textId="2AA5A05D" w:rsidR="00724E2A" w:rsidRPr="00A63FAE" w:rsidRDefault="00022FEC" w:rsidP="004B3BE7">
      <w:pPr>
        <w:ind w:left="708"/>
        <w:jc w:val="both"/>
        <w:rPr>
          <w:rFonts w:ascii="Arial" w:hAnsi="Arial" w:cs="Arial"/>
          <w:b/>
          <w:bCs/>
          <w:lang w:val="es-MX"/>
        </w:rPr>
      </w:pPr>
      <w:r w:rsidRPr="00385BFC">
        <w:rPr>
          <w:rFonts w:ascii="Arial" w:hAnsi="Arial" w:cs="Arial"/>
          <w:b/>
          <w:bCs/>
          <w:color w:val="0070C0"/>
          <w:lang w:val="es-MX"/>
        </w:rPr>
        <w:t>En caso de que el Proyecto llegue a ejecutarse, l</w:t>
      </w:r>
      <w:r w:rsidR="002A56F2" w:rsidRPr="00385BFC">
        <w:rPr>
          <w:rFonts w:ascii="Arial" w:hAnsi="Arial" w:cs="Arial"/>
          <w:b/>
          <w:bCs/>
          <w:color w:val="0070C0"/>
          <w:lang w:val="es-MX"/>
        </w:rPr>
        <w:t xml:space="preserve">a afectación a </w:t>
      </w:r>
      <w:r w:rsidR="003358FA" w:rsidRPr="00385BFC">
        <w:rPr>
          <w:rFonts w:ascii="Arial" w:hAnsi="Arial" w:cs="Arial"/>
          <w:b/>
          <w:bCs/>
          <w:color w:val="0070C0"/>
          <w:lang w:val="es-MX"/>
        </w:rPr>
        <w:t xml:space="preserve">la generación térmica del Área Centro del SEIN </w:t>
      </w:r>
      <w:r w:rsidR="00724E2A" w:rsidRPr="00385BFC">
        <w:rPr>
          <w:rFonts w:ascii="Arial" w:hAnsi="Arial" w:cs="Arial"/>
          <w:b/>
          <w:bCs/>
          <w:color w:val="0070C0"/>
          <w:lang w:val="es-MX"/>
        </w:rPr>
        <w:t>dependerá del ingreso de otros proyectos de generación</w:t>
      </w:r>
      <w:r w:rsidR="00B05C61" w:rsidRPr="00385BFC">
        <w:rPr>
          <w:rFonts w:ascii="Arial" w:hAnsi="Arial" w:cs="Arial"/>
          <w:b/>
          <w:bCs/>
          <w:color w:val="0070C0"/>
          <w:lang w:val="es-MX"/>
        </w:rPr>
        <w:t>,</w:t>
      </w:r>
      <w:r w:rsidR="00724E2A" w:rsidRPr="00385BFC">
        <w:rPr>
          <w:rFonts w:ascii="Arial" w:hAnsi="Arial" w:cs="Arial"/>
          <w:b/>
          <w:bCs/>
          <w:color w:val="0070C0"/>
          <w:lang w:val="es-MX"/>
        </w:rPr>
        <w:t xml:space="preserve"> del crecimiento de la demanda</w:t>
      </w:r>
      <w:r w:rsidR="00FF47F5" w:rsidRPr="00385BFC">
        <w:rPr>
          <w:rFonts w:ascii="Arial" w:hAnsi="Arial" w:cs="Arial"/>
          <w:b/>
          <w:bCs/>
          <w:color w:val="0070C0"/>
          <w:lang w:val="es-MX"/>
        </w:rPr>
        <w:t xml:space="preserve"> </w:t>
      </w:r>
      <w:r w:rsidR="006801DE" w:rsidRPr="00385BFC">
        <w:rPr>
          <w:rFonts w:ascii="Arial" w:hAnsi="Arial" w:cs="Arial"/>
          <w:b/>
          <w:bCs/>
          <w:color w:val="0070C0"/>
          <w:lang w:val="es-MX"/>
        </w:rPr>
        <w:t xml:space="preserve">del sistema y </w:t>
      </w:r>
      <w:r w:rsidR="00B05C61" w:rsidRPr="00385BFC">
        <w:rPr>
          <w:rFonts w:ascii="Arial" w:hAnsi="Arial" w:cs="Arial"/>
          <w:b/>
          <w:bCs/>
          <w:color w:val="0070C0"/>
          <w:lang w:val="es-MX"/>
        </w:rPr>
        <w:t xml:space="preserve">de los costos variables </w:t>
      </w:r>
      <w:r w:rsidR="00FF47F5" w:rsidRPr="00385BFC">
        <w:rPr>
          <w:rFonts w:ascii="Arial" w:hAnsi="Arial" w:cs="Arial"/>
          <w:b/>
          <w:bCs/>
          <w:color w:val="0070C0"/>
          <w:lang w:val="es-MX"/>
        </w:rPr>
        <w:t xml:space="preserve">que se presenten </w:t>
      </w:r>
      <w:r w:rsidRPr="00385BFC">
        <w:rPr>
          <w:rFonts w:ascii="Arial" w:hAnsi="Arial" w:cs="Arial"/>
          <w:b/>
          <w:bCs/>
          <w:color w:val="0070C0"/>
          <w:lang w:val="es-MX"/>
        </w:rPr>
        <w:t xml:space="preserve">en </w:t>
      </w:r>
      <w:r w:rsidR="00BD1261" w:rsidRPr="00385BFC">
        <w:rPr>
          <w:rFonts w:ascii="Arial" w:hAnsi="Arial" w:cs="Arial"/>
          <w:b/>
          <w:bCs/>
          <w:color w:val="0070C0"/>
          <w:lang w:val="es-MX"/>
        </w:rPr>
        <w:t>ese momento. Cuando</w:t>
      </w:r>
      <w:r w:rsidR="00724E2A" w:rsidRPr="00385BFC">
        <w:rPr>
          <w:rFonts w:ascii="Arial" w:hAnsi="Arial" w:cs="Arial"/>
          <w:b/>
          <w:bCs/>
          <w:color w:val="0070C0"/>
          <w:lang w:val="es-MX"/>
        </w:rPr>
        <w:t xml:space="preserve"> la oferta </w:t>
      </w:r>
      <w:r w:rsidR="00BD1261" w:rsidRPr="00385BFC">
        <w:rPr>
          <w:rFonts w:ascii="Arial" w:hAnsi="Arial" w:cs="Arial"/>
          <w:b/>
          <w:bCs/>
          <w:color w:val="0070C0"/>
          <w:lang w:val="es-MX"/>
        </w:rPr>
        <w:t xml:space="preserve">nueva </w:t>
      </w:r>
      <w:r w:rsidR="002611B0">
        <w:rPr>
          <w:rFonts w:ascii="Arial" w:hAnsi="Arial" w:cs="Arial"/>
          <w:b/>
          <w:bCs/>
          <w:color w:val="0070C0"/>
          <w:lang w:val="es-MX"/>
        </w:rPr>
        <w:t xml:space="preserve">se suma a la existente, y la oferta total </w:t>
      </w:r>
      <w:r w:rsidR="00724E2A" w:rsidRPr="00385BFC">
        <w:rPr>
          <w:rFonts w:ascii="Arial" w:hAnsi="Arial" w:cs="Arial"/>
          <w:b/>
          <w:bCs/>
          <w:color w:val="0070C0"/>
          <w:lang w:val="es-MX"/>
        </w:rPr>
        <w:t>supera a</w:t>
      </w:r>
      <w:r w:rsidR="00C72238">
        <w:rPr>
          <w:rFonts w:ascii="Arial" w:hAnsi="Arial" w:cs="Arial"/>
          <w:b/>
          <w:bCs/>
          <w:color w:val="0070C0"/>
          <w:lang w:val="es-MX"/>
        </w:rPr>
        <w:t xml:space="preserve"> </w:t>
      </w:r>
      <w:r w:rsidR="00724E2A" w:rsidRPr="00385BFC">
        <w:rPr>
          <w:rFonts w:ascii="Arial" w:hAnsi="Arial" w:cs="Arial"/>
          <w:b/>
          <w:bCs/>
          <w:color w:val="0070C0"/>
          <w:lang w:val="es-MX"/>
        </w:rPr>
        <w:t>l</w:t>
      </w:r>
      <w:r w:rsidR="00C72238">
        <w:rPr>
          <w:rFonts w:ascii="Arial" w:hAnsi="Arial" w:cs="Arial"/>
          <w:b/>
          <w:bCs/>
          <w:color w:val="0070C0"/>
          <w:lang w:val="es-MX"/>
        </w:rPr>
        <w:t>a</w:t>
      </w:r>
      <w:r w:rsidR="00724E2A" w:rsidRPr="00385BFC">
        <w:rPr>
          <w:rFonts w:ascii="Arial" w:hAnsi="Arial" w:cs="Arial"/>
          <w:b/>
          <w:bCs/>
          <w:color w:val="0070C0"/>
          <w:lang w:val="es-MX"/>
        </w:rPr>
        <w:t xml:space="preserve"> demanda, es </w:t>
      </w:r>
      <w:r w:rsidR="00A7625A">
        <w:rPr>
          <w:rFonts w:ascii="Arial" w:hAnsi="Arial" w:cs="Arial"/>
          <w:b/>
          <w:bCs/>
          <w:color w:val="0070C0"/>
          <w:lang w:val="es-MX"/>
        </w:rPr>
        <w:t>lógico</w:t>
      </w:r>
      <w:r w:rsidR="00F26625">
        <w:rPr>
          <w:rFonts w:ascii="Arial" w:hAnsi="Arial" w:cs="Arial"/>
          <w:b/>
          <w:bCs/>
          <w:color w:val="0070C0"/>
          <w:lang w:val="es-MX"/>
        </w:rPr>
        <w:t>, desde el punto de vista económico,</w:t>
      </w:r>
      <w:r w:rsidR="00A7625A">
        <w:rPr>
          <w:rFonts w:ascii="Arial" w:hAnsi="Arial" w:cs="Arial"/>
          <w:b/>
          <w:bCs/>
          <w:color w:val="0070C0"/>
          <w:lang w:val="es-MX"/>
        </w:rPr>
        <w:t xml:space="preserve"> que los </w:t>
      </w:r>
      <w:r w:rsidR="00B655DD">
        <w:rPr>
          <w:rFonts w:ascii="Arial" w:hAnsi="Arial" w:cs="Arial"/>
          <w:b/>
          <w:bCs/>
          <w:color w:val="0070C0"/>
          <w:lang w:val="es-MX"/>
        </w:rPr>
        <w:t>generadores más eficientes desplacen a los menos eficientes</w:t>
      </w:r>
      <w:r w:rsidR="00724E2A" w:rsidRPr="00385BFC">
        <w:rPr>
          <w:rFonts w:ascii="Arial" w:hAnsi="Arial" w:cs="Arial"/>
          <w:b/>
          <w:bCs/>
          <w:color w:val="0070C0"/>
          <w:lang w:val="es-MX"/>
        </w:rPr>
        <w:t xml:space="preserve">. </w:t>
      </w:r>
      <w:r w:rsidR="00296BF0" w:rsidRPr="00385BFC">
        <w:rPr>
          <w:rFonts w:ascii="Arial" w:hAnsi="Arial" w:cs="Arial"/>
          <w:b/>
          <w:bCs/>
          <w:color w:val="0070C0"/>
          <w:lang w:val="es-MX"/>
        </w:rPr>
        <w:t xml:space="preserve">Ponderar </w:t>
      </w:r>
      <w:r w:rsidR="00724E2A" w:rsidRPr="00385BFC">
        <w:rPr>
          <w:rFonts w:ascii="Arial" w:hAnsi="Arial" w:cs="Arial"/>
          <w:b/>
          <w:bCs/>
          <w:color w:val="0070C0"/>
          <w:lang w:val="es-MX"/>
        </w:rPr>
        <w:t xml:space="preserve">ese </w:t>
      </w:r>
      <w:r w:rsidR="00D44A1B">
        <w:rPr>
          <w:rFonts w:ascii="Arial" w:hAnsi="Arial" w:cs="Arial"/>
          <w:b/>
          <w:bCs/>
          <w:color w:val="0070C0"/>
          <w:lang w:val="es-MX"/>
        </w:rPr>
        <w:t>efecto</w:t>
      </w:r>
      <w:r w:rsidR="00440FA0">
        <w:rPr>
          <w:rFonts w:ascii="Arial" w:hAnsi="Arial" w:cs="Arial"/>
          <w:b/>
          <w:bCs/>
          <w:color w:val="0070C0"/>
          <w:lang w:val="es-MX"/>
        </w:rPr>
        <w:t>, que es de carácter sistémico,</w:t>
      </w:r>
      <w:r w:rsidR="00724E2A" w:rsidRPr="00385BFC">
        <w:rPr>
          <w:rFonts w:ascii="Arial" w:hAnsi="Arial" w:cs="Arial"/>
          <w:b/>
          <w:bCs/>
          <w:color w:val="0070C0"/>
          <w:lang w:val="es-MX"/>
        </w:rPr>
        <w:t xml:space="preserve"> </w:t>
      </w:r>
      <w:r w:rsidR="006801DE" w:rsidRPr="00385BFC">
        <w:rPr>
          <w:rFonts w:ascii="Arial" w:hAnsi="Arial" w:cs="Arial"/>
          <w:b/>
          <w:bCs/>
          <w:color w:val="0070C0"/>
          <w:lang w:val="es-MX"/>
        </w:rPr>
        <w:t xml:space="preserve">no corresponde a </w:t>
      </w:r>
      <w:r w:rsidR="00724E2A" w:rsidRPr="00385BFC">
        <w:rPr>
          <w:rFonts w:ascii="Arial" w:hAnsi="Arial" w:cs="Arial"/>
          <w:b/>
          <w:bCs/>
          <w:color w:val="0070C0"/>
          <w:lang w:val="es-MX"/>
        </w:rPr>
        <w:t>los objetivos del PR-20.</w:t>
      </w:r>
      <w:r w:rsidR="001828C4" w:rsidRPr="00385BFC">
        <w:rPr>
          <w:rFonts w:ascii="Arial" w:hAnsi="Arial" w:cs="Arial"/>
          <w:b/>
          <w:bCs/>
          <w:color w:val="0070C0"/>
          <w:lang w:val="es-MX"/>
        </w:rPr>
        <w:t xml:space="preserve"> Cabe </w:t>
      </w:r>
      <w:r w:rsidR="002A56F2" w:rsidRPr="00385BFC">
        <w:rPr>
          <w:rFonts w:ascii="Arial" w:hAnsi="Arial" w:cs="Arial"/>
          <w:b/>
          <w:bCs/>
          <w:color w:val="0070C0"/>
          <w:lang w:val="es-MX"/>
        </w:rPr>
        <w:t xml:space="preserve">añadir </w:t>
      </w:r>
      <w:r w:rsidR="001828C4" w:rsidRPr="00385BFC">
        <w:rPr>
          <w:rFonts w:ascii="Arial" w:hAnsi="Arial" w:cs="Arial"/>
          <w:b/>
          <w:bCs/>
          <w:color w:val="0070C0"/>
          <w:lang w:val="es-MX"/>
        </w:rPr>
        <w:t xml:space="preserve">que </w:t>
      </w:r>
      <w:r w:rsidR="00740BCE" w:rsidRPr="00385BFC">
        <w:rPr>
          <w:rFonts w:ascii="Arial" w:hAnsi="Arial" w:cs="Arial"/>
          <w:b/>
          <w:bCs/>
          <w:color w:val="0070C0"/>
          <w:lang w:val="es-MX"/>
        </w:rPr>
        <w:t xml:space="preserve">los cambios </w:t>
      </w:r>
      <w:r w:rsidR="001828C4" w:rsidRPr="00385BFC">
        <w:rPr>
          <w:rFonts w:ascii="Arial" w:hAnsi="Arial" w:cs="Arial"/>
          <w:b/>
          <w:bCs/>
          <w:color w:val="0070C0"/>
          <w:lang w:val="es-MX"/>
        </w:rPr>
        <w:t>en el despacho de la generación térmica del Área Centro del SEIN no afecta</w:t>
      </w:r>
      <w:r w:rsidR="006E67EE">
        <w:rPr>
          <w:rFonts w:ascii="Arial" w:hAnsi="Arial" w:cs="Arial"/>
          <w:b/>
          <w:bCs/>
          <w:color w:val="0070C0"/>
          <w:lang w:val="es-MX"/>
        </w:rPr>
        <w:t>n</w:t>
      </w:r>
      <w:r w:rsidR="001828C4" w:rsidRPr="00385BFC">
        <w:rPr>
          <w:rFonts w:ascii="Arial" w:hAnsi="Arial" w:cs="Arial"/>
          <w:b/>
          <w:bCs/>
          <w:color w:val="0070C0"/>
          <w:lang w:val="es-MX"/>
        </w:rPr>
        <w:t xml:space="preserve"> a las instalaciones de SPCC que se localizan en el Área Sur.</w:t>
      </w:r>
    </w:p>
    <w:p w14:paraId="09AB7D8F" w14:textId="77777777" w:rsidR="008E504A" w:rsidRPr="00D33FCD" w:rsidRDefault="008E504A" w:rsidP="004B3BE7">
      <w:pPr>
        <w:pStyle w:val="Default"/>
        <w:ind w:left="708"/>
        <w:rPr>
          <w:sz w:val="22"/>
          <w:szCs w:val="22"/>
        </w:rPr>
      </w:pPr>
    </w:p>
    <w:p w14:paraId="4EC86DC0" w14:textId="77777777" w:rsidR="008E504A" w:rsidRPr="00D33FCD" w:rsidRDefault="008E504A" w:rsidP="004B3BE7">
      <w:pPr>
        <w:pStyle w:val="Default"/>
        <w:ind w:left="708"/>
        <w:rPr>
          <w:sz w:val="22"/>
          <w:szCs w:val="22"/>
        </w:rPr>
      </w:pPr>
    </w:p>
    <w:p w14:paraId="75DC255C" w14:textId="5D7D14C3" w:rsidR="00285F84" w:rsidRPr="00D33FCD" w:rsidRDefault="00285F84" w:rsidP="004B3BE7">
      <w:pPr>
        <w:pStyle w:val="Default"/>
        <w:ind w:left="708"/>
        <w:rPr>
          <w:sz w:val="22"/>
          <w:szCs w:val="22"/>
        </w:rPr>
      </w:pPr>
      <w:r w:rsidRPr="00D33FCD">
        <w:rPr>
          <w:b/>
          <w:bCs/>
          <w:sz w:val="22"/>
          <w:szCs w:val="22"/>
        </w:rPr>
        <w:t>4. Inexistencia de sistemas de comunicación propios para la Central Coral</w:t>
      </w:r>
    </w:p>
    <w:p w14:paraId="199233A9" w14:textId="77777777" w:rsidR="00285F84" w:rsidRPr="00D33FCD" w:rsidRDefault="00285F84" w:rsidP="004B3BE7">
      <w:pPr>
        <w:pStyle w:val="Default"/>
        <w:ind w:left="708"/>
        <w:rPr>
          <w:sz w:val="22"/>
          <w:szCs w:val="22"/>
        </w:rPr>
      </w:pPr>
    </w:p>
    <w:p w14:paraId="18D489FA" w14:textId="13320D8C" w:rsidR="00285F84" w:rsidRPr="00D33FCD" w:rsidRDefault="00285F84" w:rsidP="004B3BE7">
      <w:pPr>
        <w:pStyle w:val="Default"/>
        <w:ind w:left="708"/>
        <w:jc w:val="both"/>
        <w:rPr>
          <w:sz w:val="22"/>
          <w:szCs w:val="22"/>
        </w:rPr>
      </w:pPr>
      <w:r w:rsidRPr="00D33FCD">
        <w:rPr>
          <w:sz w:val="22"/>
          <w:szCs w:val="22"/>
        </w:rPr>
        <w:t>Para el “Esquema de Rechazo de Generación”, el EPO considera instalar equipos de monitoreo en varias subestaciones de SPCC (Ilo-</w:t>
      </w:r>
      <w:proofErr w:type="spellStart"/>
      <w:r w:rsidRPr="00D33FCD">
        <w:rPr>
          <w:sz w:val="22"/>
          <w:szCs w:val="22"/>
        </w:rPr>
        <w:t>Electrosur</w:t>
      </w:r>
      <w:proofErr w:type="spellEnd"/>
      <w:r w:rsidRPr="00D33FCD">
        <w:rPr>
          <w:sz w:val="22"/>
          <w:szCs w:val="22"/>
        </w:rPr>
        <w:t xml:space="preserve">, Plaza, Lixiviación, </w:t>
      </w:r>
      <w:proofErr w:type="spellStart"/>
      <w:r w:rsidRPr="00D33FCD">
        <w:rPr>
          <w:sz w:val="22"/>
          <w:szCs w:val="22"/>
        </w:rPr>
        <w:t>Push</w:t>
      </w:r>
      <w:proofErr w:type="spellEnd"/>
      <w:r w:rsidRPr="00D33FCD">
        <w:rPr>
          <w:sz w:val="22"/>
          <w:szCs w:val="22"/>
        </w:rPr>
        <w:t xml:space="preserve"> Back, Millsite). El EPO asume que existen hilos de fibra óptica libres para el monitoreo del sistema que proponen; sin embargo, SPCC no dispone de capacidad disponible en su fibra óptica para este fin (las fibras ópticas están siendo utilizada en la red administrativa/comercial entre las unidades operativas, en todos los procesos mineros, en las comunicaciones con Lima y con la sede en México, así como en el sistema scada y en el sistema de protección de SPCC). La Central Coral debe considerar en su proyecto sus propios sistemas de comunicación y ofrecernos un proyecto de rechazos de generación por sobrecarga con alta confiabilidad.</w:t>
      </w:r>
    </w:p>
    <w:p w14:paraId="023E81B7" w14:textId="3302F264" w:rsidR="00AB00A6" w:rsidRPr="00D33FCD" w:rsidRDefault="00AB00A6" w:rsidP="004B3BE7">
      <w:pPr>
        <w:pStyle w:val="Default"/>
        <w:ind w:left="708"/>
        <w:jc w:val="both"/>
        <w:rPr>
          <w:sz w:val="22"/>
          <w:szCs w:val="22"/>
        </w:rPr>
      </w:pPr>
    </w:p>
    <w:p w14:paraId="4239DD75" w14:textId="77777777" w:rsidR="00385BFC" w:rsidRPr="00C8524F" w:rsidRDefault="00385BFC" w:rsidP="004B3BE7">
      <w:pPr>
        <w:pStyle w:val="Default"/>
        <w:ind w:left="708"/>
        <w:jc w:val="both"/>
        <w:rPr>
          <w:b/>
          <w:bCs/>
          <w:color w:val="0070C0"/>
          <w:sz w:val="22"/>
          <w:szCs w:val="22"/>
        </w:rPr>
      </w:pPr>
      <w:r w:rsidRPr="00C8524F">
        <w:rPr>
          <w:b/>
          <w:bCs/>
          <w:color w:val="0070C0"/>
          <w:sz w:val="22"/>
          <w:szCs w:val="22"/>
        </w:rPr>
        <w:t>Respuesta COES:</w:t>
      </w:r>
    </w:p>
    <w:p w14:paraId="1319C6EB" w14:textId="6F91A36B" w:rsidR="00AB00A6" w:rsidRPr="00D33FCD" w:rsidRDefault="00385BFC" w:rsidP="004B3BE7">
      <w:pPr>
        <w:pStyle w:val="Default"/>
        <w:ind w:left="708"/>
        <w:jc w:val="both"/>
        <w:rPr>
          <w:sz w:val="22"/>
          <w:szCs w:val="22"/>
        </w:rPr>
      </w:pPr>
      <w:r w:rsidRPr="00C8524F">
        <w:rPr>
          <w:b/>
          <w:bCs/>
          <w:color w:val="0070C0"/>
          <w:sz w:val="22"/>
          <w:szCs w:val="22"/>
        </w:rPr>
        <w:t xml:space="preserve">Es de responsabilidad de IGNIS </w:t>
      </w:r>
      <w:r w:rsidR="00831CC2" w:rsidRPr="00C8524F">
        <w:rPr>
          <w:b/>
          <w:bCs/>
          <w:color w:val="0070C0"/>
          <w:sz w:val="22"/>
          <w:szCs w:val="22"/>
        </w:rPr>
        <w:t>contar con</w:t>
      </w:r>
      <w:r w:rsidRPr="00C8524F">
        <w:rPr>
          <w:b/>
          <w:bCs/>
          <w:color w:val="0070C0"/>
          <w:sz w:val="22"/>
          <w:szCs w:val="22"/>
        </w:rPr>
        <w:t xml:space="preserve"> un sistema de comunicaciones </w:t>
      </w:r>
      <w:r w:rsidR="006A44AF">
        <w:rPr>
          <w:b/>
          <w:bCs/>
          <w:color w:val="0070C0"/>
          <w:sz w:val="22"/>
          <w:szCs w:val="22"/>
        </w:rPr>
        <w:t xml:space="preserve">seguro y </w:t>
      </w:r>
      <w:r w:rsidRPr="00C8524F">
        <w:rPr>
          <w:b/>
          <w:bCs/>
          <w:color w:val="0070C0"/>
          <w:sz w:val="22"/>
          <w:szCs w:val="22"/>
        </w:rPr>
        <w:t xml:space="preserve">confiable para el funcionamiento del </w:t>
      </w:r>
      <w:r w:rsidR="00831CC2" w:rsidRPr="00C8524F">
        <w:rPr>
          <w:b/>
          <w:bCs/>
          <w:color w:val="0070C0"/>
          <w:sz w:val="22"/>
          <w:szCs w:val="22"/>
        </w:rPr>
        <w:t>esquema de reducción de gen</w:t>
      </w:r>
      <w:r w:rsidR="00C8524F" w:rsidRPr="00C8524F">
        <w:rPr>
          <w:b/>
          <w:bCs/>
          <w:color w:val="0070C0"/>
          <w:sz w:val="22"/>
          <w:szCs w:val="22"/>
        </w:rPr>
        <w:t>e</w:t>
      </w:r>
      <w:r w:rsidR="00831CC2" w:rsidRPr="00C8524F">
        <w:rPr>
          <w:b/>
          <w:bCs/>
          <w:color w:val="0070C0"/>
          <w:sz w:val="22"/>
          <w:szCs w:val="22"/>
        </w:rPr>
        <w:t>ración</w:t>
      </w:r>
    </w:p>
    <w:p w14:paraId="5734E017" w14:textId="77777777" w:rsidR="00AB00A6" w:rsidRPr="00D33FCD" w:rsidRDefault="00AB00A6" w:rsidP="004B3BE7">
      <w:pPr>
        <w:pStyle w:val="Default"/>
        <w:ind w:left="708"/>
        <w:jc w:val="both"/>
        <w:rPr>
          <w:sz w:val="22"/>
          <w:szCs w:val="22"/>
        </w:rPr>
      </w:pPr>
    </w:p>
    <w:p w14:paraId="2CBDFC69" w14:textId="50338633" w:rsidR="00285F84" w:rsidRPr="00D33FCD" w:rsidRDefault="00285F84" w:rsidP="004B3BE7">
      <w:pPr>
        <w:pStyle w:val="Default"/>
        <w:ind w:left="708"/>
        <w:jc w:val="both"/>
        <w:rPr>
          <w:sz w:val="22"/>
          <w:szCs w:val="22"/>
        </w:rPr>
      </w:pPr>
      <w:r w:rsidRPr="00D33FCD">
        <w:rPr>
          <w:b/>
          <w:bCs/>
          <w:sz w:val="22"/>
          <w:szCs w:val="22"/>
        </w:rPr>
        <w:t>5. Propuesta de considerar la conexión a una Subestación HUB, según el PLAN DE TRANSMISION 2023-2032</w:t>
      </w:r>
      <w:r w:rsidR="00D13870">
        <w:rPr>
          <w:b/>
          <w:bCs/>
          <w:sz w:val="22"/>
          <w:szCs w:val="22"/>
        </w:rPr>
        <w:t>.</w:t>
      </w:r>
    </w:p>
    <w:p w14:paraId="0F8911A7" w14:textId="77777777" w:rsidR="00285F84" w:rsidRPr="00D33FCD" w:rsidRDefault="00285F84" w:rsidP="004B3BE7">
      <w:pPr>
        <w:pStyle w:val="Default"/>
        <w:ind w:left="708"/>
        <w:jc w:val="both"/>
        <w:rPr>
          <w:sz w:val="22"/>
          <w:szCs w:val="22"/>
        </w:rPr>
      </w:pPr>
    </w:p>
    <w:p w14:paraId="1876EE6A" w14:textId="59B3B501" w:rsidR="00285F84" w:rsidRPr="00D33FCD" w:rsidRDefault="00285F84" w:rsidP="004B3BE7">
      <w:pPr>
        <w:pStyle w:val="Default"/>
        <w:ind w:left="708"/>
        <w:jc w:val="both"/>
        <w:rPr>
          <w:sz w:val="22"/>
          <w:szCs w:val="22"/>
        </w:rPr>
      </w:pPr>
      <w:r w:rsidRPr="00D33FCD">
        <w:rPr>
          <w:sz w:val="22"/>
          <w:szCs w:val="22"/>
        </w:rPr>
        <w:t xml:space="preserve">Se reitera que los proyectos de Centrales Solares Fotovoltaicas de la zona (Coral 400 MW, Quebranta 100 MW, </w:t>
      </w:r>
      <w:proofErr w:type="spellStart"/>
      <w:r w:rsidRPr="00D33FCD">
        <w:rPr>
          <w:sz w:val="22"/>
          <w:szCs w:val="22"/>
        </w:rPr>
        <w:t>Hanaqpampa</w:t>
      </w:r>
      <w:proofErr w:type="spellEnd"/>
      <w:r w:rsidRPr="00D33FCD">
        <w:rPr>
          <w:sz w:val="22"/>
          <w:szCs w:val="22"/>
        </w:rPr>
        <w:t xml:space="preserve"> 300 MW y Petra 100 MW), por las magnitudes de generación, oportunidad/voluntad de la inversión ofrecida, cercanía entre todas y eficiencia del SEIN, deberían conectarse al SEIN en la línea de 500 KV Subestación Montalvo - Ilo 4, evacuando la energía a un radio más amplio, conectándolos a una Subestación que funcione como HUB, tal como el PLAN DE TRANSMISION 2023-2032 ha conceptuado en las Subestaciones San José, Poroma y otras. Contar con una Subestación tipo </w:t>
      </w:r>
      <w:proofErr w:type="gramStart"/>
      <w:r w:rsidRPr="00D33FCD">
        <w:rPr>
          <w:sz w:val="22"/>
          <w:szCs w:val="22"/>
        </w:rPr>
        <w:t>HUB</w:t>
      </w:r>
      <w:proofErr w:type="gramEnd"/>
      <w:r w:rsidRPr="00D33FCD">
        <w:rPr>
          <w:sz w:val="22"/>
          <w:szCs w:val="22"/>
        </w:rPr>
        <w:t xml:space="preserve"> beneficiaría económicamente a todas las inversiones privadas y públicas.</w:t>
      </w:r>
    </w:p>
    <w:p w14:paraId="5E33C433" w14:textId="77777777" w:rsidR="004B3BE7" w:rsidRPr="00D33FCD" w:rsidRDefault="004B3BE7" w:rsidP="004B3BE7">
      <w:pPr>
        <w:pStyle w:val="Default"/>
        <w:ind w:left="708"/>
        <w:jc w:val="both"/>
        <w:rPr>
          <w:sz w:val="22"/>
          <w:szCs w:val="22"/>
        </w:rPr>
      </w:pPr>
    </w:p>
    <w:p w14:paraId="4DE929BA" w14:textId="77777777" w:rsidR="004B3BE7" w:rsidRPr="00B71F81" w:rsidRDefault="004B3BE7" w:rsidP="004B3BE7">
      <w:pPr>
        <w:ind w:left="708"/>
        <w:jc w:val="both"/>
        <w:rPr>
          <w:rFonts w:ascii="Arial" w:hAnsi="Arial" w:cs="Arial"/>
          <w:b/>
          <w:bCs/>
          <w:color w:val="0070C0"/>
          <w:lang w:val="es-MX"/>
        </w:rPr>
      </w:pPr>
      <w:r w:rsidRPr="00B71F81">
        <w:rPr>
          <w:rFonts w:ascii="Arial" w:hAnsi="Arial" w:cs="Arial"/>
          <w:b/>
          <w:bCs/>
          <w:color w:val="0070C0"/>
          <w:lang w:val="es-MX"/>
        </w:rPr>
        <w:t>Respuesta COES:</w:t>
      </w:r>
    </w:p>
    <w:p w14:paraId="6FE25A6B" w14:textId="2F05D612" w:rsidR="004B3BE7" w:rsidRPr="00B71F81" w:rsidRDefault="004B3BE7" w:rsidP="004B3BE7">
      <w:pPr>
        <w:ind w:left="708"/>
        <w:jc w:val="both"/>
        <w:rPr>
          <w:rFonts w:ascii="Arial" w:hAnsi="Arial" w:cs="Arial"/>
          <w:b/>
          <w:bCs/>
          <w:color w:val="0070C0"/>
          <w:lang w:val="es-MX"/>
        </w:rPr>
      </w:pPr>
      <w:r w:rsidRPr="00B71F81">
        <w:rPr>
          <w:rFonts w:ascii="Arial" w:hAnsi="Arial" w:cs="Arial"/>
          <w:b/>
          <w:bCs/>
          <w:color w:val="0070C0"/>
          <w:lang w:val="es-MX"/>
        </w:rPr>
        <w:t>La recomendación señalada escapa a los alcances de un EPO. No es objetivo de</w:t>
      </w:r>
      <w:r w:rsidR="00F44C59">
        <w:rPr>
          <w:rFonts w:ascii="Arial" w:hAnsi="Arial" w:cs="Arial"/>
          <w:b/>
          <w:bCs/>
          <w:color w:val="0070C0"/>
          <w:lang w:val="es-MX"/>
        </w:rPr>
        <w:t xml:space="preserve"> </w:t>
      </w:r>
      <w:r w:rsidRPr="00B71F81">
        <w:rPr>
          <w:rFonts w:ascii="Arial" w:hAnsi="Arial" w:cs="Arial"/>
          <w:b/>
          <w:bCs/>
          <w:color w:val="0070C0"/>
          <w:lang w:val="es-MX"/>
        </w:rPr>
        <w:t>l</w:t>
      </w:r>
      <w:r w:rsidR="00F44C59">
        <w:rPr>
          <w:rFonts w:ascii="Arial" w:hAnsi="Arial" w:cs="Arial"/>
          <w:b/>
          <w:bCs/>
          <w:color w:val="0070C0"/>
          <w:lang w:val="es-MX"/>
        </w:rPr>
        <w:t>a revisión de un</w:t>
      </w:r>
      <w:r w:rsidRPr="00B71F81">
        <w:rPr>
          <w:rFonts w:ascii="Arial" w:hAnsi="Arial" w:cs="Arial"/>
          <w:b/>
          <w:bCs/>
          <w:color w:val="0070C0"/>
          <w:lang w:val="es-MX"/>
        </w:rPr>
        <w:t xml:space="preserve"> EPO indicarle al titular de un proyecto dónde debería conectarse</w:t>
      </w:r>
      <w:r w:rsidR="00B22142">
        <w:rPr>
          <w:rFonts w:ascii="Arial" w:hAnsi="Arial" w:cs="Arial"/>
          <w:b/>
          <w:bCs/>
          <w:color w:val="0070C0"/>
          <w:lang w:val="es-MX"/>
        </w:rPr>
        <w:t>,</w:t>
      </w:r>
      <w:r w:rsidRPr="00B71F81">
        <w:rPr>
          <w:rFonts w:ascii="Arial" w:hAnsi="Arial" w:cs="Arial"/>
          <w:b/>
          <w:bCs/>
          <w:color w:val="0070C0"/>
          <w:lang w:val="es-MX"/>
        </w:rPr>
        <w:t xml:space="preserve"> sino verificar que el proyecto cumpla con los requisitos del PR-20 en el punto de conexión que </w:t>
      </w:r>
      <w:r w:rsidR="00F26625">
        <w:rPr>
          <w:rFonts w:ascii="Arial" w:hAnsi="Arial" w:cs="Arial"/>
          <w:b/>
          <w:bCs/>
          <w:color w:val="0070C0"/>
          <w:lang w:val="es-MX"/>
        </w:rPr>
        <w:t>este</w:t>
      </w:r>
      <w:r w:rsidR="00F26625" w:rsidRPr="00B71F81">
        <w:rPr>
          <w:rFonts w:ascii="Arial" w:hAnsi="Arial" w:cs="Arial"/>
          <w:b/>
          <w:bCs/>
          <w:color w:val="0070C0"/>
          <w:lang w:val="es-MX"/>
        </w:rPr>
        <w:t xml:space="preserve"> </w:t>
      </w:r>
      <w:r w:rsidRPr="00B71F81">
        <w:rPr>
          <w:rFonts w:ascii="Arial" w:hAnsi="Arial" w:cs="Arial"/>
          <w:b/>
          <w:bCs/>
          <w:color w:val="0070C0"/>
          <w:lang w:val="es-MX"/>
        </w:rPr>
        <w:t>haya propuesto.</w:t>
      </w:r>
    </w:p>
    <w:p w14:paraId="6C44C91B" w14:textId="25E40553" w:rsidR="004B3BE7" w:rsidRPr="00D33FCD" w:rsidRDefault="004B3BE7" w:rsidP="004B3BE7">
      <w:pPr>
        <w:pStyle w:val="Default"/>
        <w:ind w:left="708"/>
        <w:jc w:val="both"/>
        <w:rPr>
          <w:sz w:val="22"/>
          <w:szCs w:val="22"/>
        </w:rPr>
      </w:pPr>
    </w:p>
    <w:p w14:paraId="37AD0603" w14:textId="03CC7829" w:rsidR="004B3BE7" w:rsidRPr="00D33FCD" w:rsidRDefault="004B3BE7" w:rsidP="004B3BE7">
      <w:pPr>
        <w:pStyle w:val="Default"/>
        <w:ind w:left="708"/>
        <w:jc w:val="both"/>
        <w:rPr>
          <w:sz w:val="22"/>
          <w:szCs w:val="22"/>
        </w:rPr>
      </w:pPr>
    </w:p>
    <w:p w14:paraId="562A72EB" w14:textId="77777777" w:rsidR="004B3BE7" w:rsidRPr="00D33FCD" w:rsidRDefault="004B3BE7" w:rsidP="004B3BE7">
      <w:pPr>
        <w:pStyle w:val="Default"/>
        <w:ind w:left="708"/>
        <w:jc w:val="both"/>
        <w:rPr>
          <w:sz w:val="22"/>
          <w:szCs w:val="22"/>
        </w:rPr>
      </w:pPr>
    </w:p>
    <w:p w14:paraId="4A1F7952" w14:textId="521D7C39" w:rsidR="00285F84" w:rsidRPr="00D33FCD" w:rsidRDefault="00285F84" w:rsidP="00D33FCD">
      <w:pPr>
        <w:pStyle w:val="Default"/>
        <w:ind w:left="708"/>
        <w:jc w:val="both"/>
        <w:rPr>
          <w:sz w:val="22"/>
          <w:szCs w:val="22"/>
        </w:rPr>
      </w:pPr>
      <w:r w:rsidRPr="00D33FCD">
        <w:rPr>
          <w:b/>
          <w:bCs/>
          <w:sz w:val="22"/>
          <w:szCs w:val="22"/>
        </w:rPr>
        <w:t>6. La propuesta de rechazo de generación por sobrecarga genera contingencias para SPCC</w:t>
      </w:r>
      <w:r w:rsidR="00D13870">
        <w:rPr>
          <w:b/>
          <w:bCs/>
          <w:sz w:val="22"/>
          <w:szCs w:val="22"/>
        </w:rPr>
        <w:t>.</w:t>
      </w:r>
    </w:p>
    <w:p w14:paraId="347E0AFE" w14:textId="77777777" w:rsidR="00285F84" w:rsidRPr="00D33FCD" w:rsidRDefault="00285F84" w:rsidP="004B3BE7">
      <w:pPr>
        <w:pStyle w:val="Default"/>
        <w:ind w:left="708"/>
        <w:rPr>
          <w:sz w:val="22"/>
          <w:szCs w:val="22"/>
        </w:rPr>
      </w:pPr>
    </w:p>
    <w:p w14:paraId="5A89A787" w14:textId="627881B2" w:rsidR="00285F84" w:rsidRPr="00D33FCD" w:rsidRDefault="00285F84" w:rsidP="00D33FCD">
      <w:pPr>
        <w:ind w:left="708"/>
        <w:jc w:val="both"/>
        <w:rPr>
          <w:rFonts w:ascii="Arial" w:hAnsi="Arial" w:cs="Arial"/>
          <w:b/>
          <w:bCs/>
          <w:lang w:val="es-MX"/>
        </w:rPr>
      </w:pPr>
      <w:r w:rsidRPr="00D33FCD">
        <w:rPr>
          <w:rFonts w:ascii="Arial" w:hAnsi="Arial" w:cs="Arial"/>
        </w:rPr>
        <w:t>El EPO de la Central Coral en condición de operación normal y contingencias mantiene su propuesta de un esquema de rechazo de generación. SPCC reitera que no considera aceptable esta propuesta de rechazo de generación por sobrecarga de la transmisión de SPCC en caso de contingencia, ya que dicho esquema pondría en riesgo nuestras operaciones minero-metalúrgicas. Además, en el PR-20 no figura como una gestión de operación el rechazo automático de la generación por sobrecarga de las redes de transmisión y vulnera la capacidad de operación de contingencias N-1.</w:t>
      </w:r>
    </w:p>
    <w:p w14:paraId="1D50BA5D" w14:textId="77777777" w:rsidR="004B3BE7" w:rsidRPr="00B71F81" w:rsidRDefault="004B3BE7" w:rsidP="004B3BE7">
      <w:pPr>
        <w:ind w:left="708"/>
        <w:jc w:val="both"/>
        <w:rPr>
          <w:rFonts w:ascii="Arial" w:hAnsi="Arial" w:cs="Arial"/>
          <w:b/>
          <w:bCs/>
          <w:color w:val="0070C0"/>
          <w:lang w:val="es-MX"/>
        </w:rPr>
      </w:pPr>
      <w:r w:rsidRPr="00B71F81">
        <w:rPr>
          <w:rFonts w:ascii="Arial" w:hAnsi="Arial" w:cs="Arial"/>
          <w:b/>
          <w:bCs/>
          <w:color w:val="0070C0"/>
          <w:lang w:val="es-MX"/>
        </w:rPr>
        <w:t>Respuesta COES:</w:t>
      </w:r>
    </w:p>
    <w:p w14:paraId="63387554" w14:textId="51023906" w:rsidR="00712667" w:rsidRPr="00B71F81" w:rsidRDefault="00343BF5" w:rsidP="004B3BE7">
      <w:pPr>
        <w:ind w:left="708"/>
        <w:jc w:val="both"/>
        <w:rPr>
          <w:rFonts w:ascii="Arial" w:hAnsi="Arial" w:cs="Arial"/>
          <w:b/>
          <w:bCs/>
          <w:color w:val="0070C0"/>
          <w:lang w:val="es-MX"/>
        </w:rPr>
      </w:pPr>
      <w:r w:rsidRPr="00B71F81">
        <w:rPr>
          <w:rFonts w:ascii="Arial" w:hAnsi="Arial" w:cs="Arial"/>
          <w:b/>
          <w:bCs/>
          <w:color w:val="0070C0"/>
          <w:lang w:val="es-MX"/>
        </w:rPr>
        <w:t xml:space="preserve">La </w:t>
      </w:r>
      <w:r w:rsidR="007A146E" w:rsidRPr="00B71F81">
        <w:rPr>
          <w:rFonts w:ascii="Arial" w:hAnsi="Arial" w:cs="Arial"/>
          <w:b/>
          <w:bCs/>
          <w:color w:val="0070C0"/>
          <w:lang w:val="es-MX"/>
        </w:rPr>
        <w:t xml:space="preserve">observación no señala de qué manera el esquema pondría en riesgo las operaciones </w:t>
      </w:r>
      <w:r w:rsidR="00014BE5" w:rsidRPr="00B71F81">
        <w:rPr>
          <w:rFonts w:ascii="Arial" w:hAnsi="Arial" w:cs="Arial"/>
          <w:b/>
          <w:bCs/>
          <w:color w:val="0070C0"/>
          <w:lang w:val="es-MX"/>
        </w:rPr>
        <w:t>minero-metalúrgicas de SPCC</w:t>
      </w:r>
      <w:r w:rsidR="007A146E" w:rsidRPr="00B71F81">
        <w:rPr>
          <w:rFonts w:ascii="Arial" w:hAnsi="Arial" w:cs="Arial"/>
          <w:b/>
          <w:bCs/>
          <w:color w:val="0070C0"/>
          <w:lang w:val="es-MX"/>
        </w:rPr>
        <w:t xml:space="preserve">. </w:t>
      </w:r>
      <w:r w:rsidR="00712667" w:rsidRPr="00B71F81">
        <w:rPr>
          <w:rFonts w:ascii="Arial" w:hAnsi="Arial" w:cs="Arial"/>
          <w:b/>
          <w:bCs/>
          <w:color w:val="0070C0"/>
          <w:lang w:val="es-MX"/>
        </w:rPr>
        <w:t xml:space="preserve">Ver respuesta a </w:t>
      </w:r>
      <w:r w:rsidR="00A63FAE" w:rsidRPr="00B71F81">
        <w:rPr>
          <w:rFonts w:ascii="Arial" w:hAnsi="Arial" w:cs="Arial"/>
          <w:b/>
          <w:bCs/>
          <w:color w:val="0070C0"/>
          <w:lang w:val="es-MX"/>
        </w:rPr>
        <w:t xml:space="preserve">la </w:t>
      </w:r>
      <w:r w:rsidR="00712667" w:rsidRPr="00B71F81">
        <w:rPr>
          <w:rFonts w:ascii="Arial" w:hAnsi="Arial" w:cs="Arial"/>
          <w:b/>
          <w:bCs/>
          <w:color w:val="0070C0"/>
          <w:lang w:val="es-MX"/>
        </w:rPr>
        <w:t>observación 1.</w:t>
      </w:r>
    </w:p>
    <w:sectPr w:rsidR="00712667" w:rsidRPr="00B71F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275EE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74AF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37043B"/>
    <w:multiLevelType w:val="hybridMultilevel"/>
    <w:tmpl w:val="054238F4"/>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15:restartNumberingAfterBreak="0">
    <w:nsid w:val="2EFD69DC"/>
    <w:multiLevelType w:val="multilevel"/>
    <w:tmpl w:val="B1603A0E"/>
    <w:lvl w:ilvl="0">
      <w:start w:val="4"/>
      <w:numFmt w:val="decimal"/>
      <w:pStyle w:val="ListParagraph"/>
      <w:lvlText w:val="%1."/>
      <w:lvlJc w:val="left"/>
      <w:pPr>
        <w:ind w:left="502" w:hanging="360"/>
      </w:pPr>
      <w:rPr>
        <w:b/>
        <w:color w:val="auto"/>
      </w:rPr>
    </w:lvl>
    <w:lvl w:ilvl="1">
      <w:start w:val="1"/>
      <w:numFmt w:val="decimal"/>
      <w:pStyle w:val="NoSpacing"/>
      <w:isLgl/>
      <w:lvlText w:val="%1.%2"/>
      <w:lvlJc w:val="left"/>
      <w:pPr>
        <w:ind w:left="644"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32DA1E94"/>
    <w:multiLevelType w:val="hybridMultilevel"/>
    <w:tmpl w:val="BA7254A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40C04967"/>
    <w:multiLevelType w:val="hybridMultilevel"/>
    <w:tmpl w:val="58D6A4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ABD6B6D"/>
    <w:multiLevelType w:val="hybridMultilevel"/>
    <w:tmpl w:val="0276CE70"/>
    <w:lvl w:ilvl="0" w:tplc="F2DC9510">
      <w:start w:val="1"/>
      <w:numFmt w:val="low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7" w15:restartNumberingAfterBreak="0">
    <w:nsid w:val="58340802"/>
    <w:multiLevelType w:val="hybridMultilevel"/>
    <w:tmpl w:val="59BCD7FE"/>
    <w:lvl w:ilvl="0" w:tplc="AC48E1EC">
      <w:start w:val="1"/>
      <w:numFmt w:val="upperRoman"/>
      <w:lvlText w:val="%1."/>
      <w:lvlJc w:val="left"/>
      <w:pPr>
        <w:ind w:left="720" w:hanging="360"/>
      </w:pPr>
      <w:rPr>
        <w:rFonts w:asciiTheme="minorHAnsi" w:eastAsiaTheme="minorHAnsi" w:hAnsiTheme="minorHAnsi" w:cstheme="minorBidi"/>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7EE6713"/>
    <w:multiLevelType w:val="hybridMultilevel"/>
    <w:tmpl w:val="64DE0E38"/>
    <w:lvl w:ilvl="0" w:tplc="FE024F9E">
      <w:start w:val="2"/>
      <w:numFmt w:val="decimal"/>
      <w:lvlText w:val="(%1)"/>
      <w:lvlJc w:val="left"/>
      <w:pPr>
        <w:ind w:left="1720"/>
      </w:pPr>
      <w:rPr>
        <w:rFonts w:ascii="Arial" w:eastAsia="Arial" w:hAnsi="Arial" w:cs="Arial"/>
        <w:b w:val="0"/>
        <w:i w:val="0"/>
        <w:strike w:val="0"/>
        <w:dstrike w:val="0"/>
        <w:color w:val="4472C4" w:themeColor="accent1"/>
        <w:sz w:val="20"/>
        <w:szCs w:val="20"/>
        <w:u w:val="none" w:color="000000"/>
        <w:bdr w:val="none" w:sz="0" w:space="0" w:color="auto"/>
        <w:shd w:val="clear" w:color="auto" w:fill="auto"/>
        <w:vertAlign w:val="baseline"/>
      </w:rPr>
    </w:lvl>
    <w:lvl w:ilvl="1" w:tplc="7502680E">
      <w:start w:val="1"/>
      <w:numFmt w:val="lowerLetter"/>
      <w:lvlText w:val="%2"/>
      <w:lvlJc w:val="left"/>
      <w:pPr>
        <w:ind w:left="2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1001BC">
      <w:start w:val="1"/>
      <w:numFmt w:val="lowerRoman"/>
      <w:lvlText w:val="%3"/>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6C327A">
      <w:start w:val="1"/>
      <w:numFmt w:val="decimal"/>
      <w:lvlText w:val="%4"/>
      <w:lvlJc w:val="left"/>
      <w:pPr>
        <w:ind w:left="3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70E662">
      <w:start w:val="1"/>
      <w:numFmt w:val="lowerLetter"/>
      <w:lvlText w:val="%5"/>
      <w:lvlJc w:val="left"/>
      <w:pPr>
        <w:ind w:left="4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6C0F02">
      <w:start w:val="1"/>
      <w:numFmt w:val="lowerRoman"/>
      <w:lvlText w:val="%6"/>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B6D480">
      <w:start w:val="1"/>
      <w:numFmt w:val="decimal"/>
      <w:lvlText w:val="%7"/>
      <w:lvlJc w:val="left"/>
      <w:pPr>
        <w:ind w:left="6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82990">
      <w:start w:val="1"/>
      <w:numFmt w:val="lowerLetter"/>
      <w:lvlText w:val="%8"/>
      <w:lvlJc w:val="left"/>
      <w:pPr>
        <w:ind w:left="6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589E08">
      <w:start w:val="1"/>
      <w:numFmt w:val="lowerRoman"/>
      <w:lvlText w:val="%9"/>
      <w:lvlJc w:val="left"/>
      <w:pPr>
        <w:ind w:left="7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5776234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4687200">
    <w:abstractNumId w:val="5"/>
  </w:num>
  <w:num w:numId="3" w16cid:durableId="85730613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1798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6782952">
    <w:abstractNumId w:val="1"/>
  </w:num>
  <w:num w:numId="6" w16cid:durableId="268589842">
    <w:abstractNumId w:val="7"/>
  </w:num>
  <w:num w:numId="7" w16cid:durableId="188570575">
    <w:abstractNumId w:val="4"/>
  </w:num>
  <w:num w:numId="8" w16cid:durableId="529151599">
    <w:abstractNumId w:val="0"/>
  </w:num>
  <w:num w:numId="9" w16cid:durableId="560942999">
    <w:abstractNumId w:val="2"/>
  </w:num>
  <w:num w:numId="10" w16cid:durableId="1260024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A0"/>
    <w:rsid w:val="00003F15"/>
    <w:rsid w:val="00006881"/>
    <w:rsid w:val="00007849"/>
    <w:rsid w:val="0001288C"/>
    <w:rsid w:val="00014800"/>
    <w:rsid w:val="00014BE5"/>
    <w:rsid w:val="0001557B"/>
    <w:rsid w:val="0001608E"/>
    <w:rsid w:val="00022FEC"/>
    <w:rsid w:val="00036B03"/>
    <w:rsid w:val="00036CA0"/>
    <w:rsid w:val="000554DE"/>
    <w:rsid w:val="000600DF"/>
    <w:rsid w:val="00060301"/>
    <w:rsid w:val="00091709"/>
    <w:rsid w:val="000C649F"/>
    <w:rsid w:val="000E4BCE"/>
    <w:rsid w:val="001105B1"/>
    <w:rsid w:val="001143DC"/>
    <w:rsid w:val="00124AA2"/>
    <w:rsid w:val="00130D53"/>
    <w:rsid w:val="00133147"/>
    <w:rsid w:val="00135634"/>
    <w:rsid w:val="0014776C"/>
    <w:rsid w:val="00154C81"/>
    <w:rsid w:val="00167D92"/>
    <w:rsid w:val="001828C4"/>
    <w:rsid w:val="0019480F"/>
    <w:rsid w:val="001A758D"/>
    <w:rsid w:val="001B7411"/>
    <w:rsid w:val="001B7539"/>
    <w:rsid w:val="001C3FC8"/>
    <w:rsid w:val="001D396F"/>
    <w:rsid w:val="001E5A07"/>
    <w:rsid w:val="001F47D6"/>
    <w:rsid w:val="00201F23"/>
    <w:rsid w:val="00203EB3"/>
    <w:rsid w:val="00213127"/>
    <w:rsid w:val="00225F93"/>
    <w:rsid w:val="0022610C"/>
    <w:rsid w:val="002350D9"/>
    <w:rsid w:val="00237EA0"/>
    <w:rsid w:val="00241409"/>
    <w:rsid w:val="00245A7A"/>
    <w:rsid w:val="0025423C"/>
    <w:rsid w:val="002554AE"/>
    <w:rsid w:val="002611B0"/>
    <w:rsid w:val="002804B2"/>
    <w:rsid w:val="00285F84"/>
    <w:rsid w:val="0029123B"/>
    <w:rsid w:val="002931E8"/>
    <w:rsid w:val="00296128"/>
    <w:rsid w:val="00296BF0"/>
    <w:rsid w:val="002A00AF"/>
    <w:rsid w:val="002A16B3"/>
    <w:rsid w:val="002A56F2"/>
    <w:rsid w:val="002C4F73"/>
    <w:rsid w:val="002C7126"/>
    <w:rsid w:val="002D54A3"/>
    <w:rsid w:val="002D7AD6"/>
    <w:rsid w:val="002D7CF9"/>
    <w:rsid w:val="002F0F05"/>
    <w:rsid w:val="00311585"/>
    <w:rsid w:val="00312DB5"/>
    <w:rsid w:val="0033083A"/>
    <w:rsid w:val="00331CDE"/>
    <w:rsid w:val="003358FA"/>
    <w:rsid w:val="00343BF5"/>
    <w:rsid w:val="00343C5A"/>
    <w:rsid w:val="00347509"/>
    <w:rsid w:val="00355B70"/>
    <w:rsid w:val="00365574"/>
    <w:rsid w:val="00373D29"/>
    <w:rsid w:val="00385465"/>
    <w:rsid w:val="00385BFC"/>
    <w:rsid w:val="00397808"/>
    <w:rsid w:val="003A2399"/>
    <w:rsid w:val="003A701E"/>
    <w:rsid w:val="003B4EB2"/>
    <w:rsid w:val="003B6674"/>
    <w:rsid w:val="003D0D87"/>
    <w:rsid w:val="003D76C7"/>
    <w:rsid w:val="003E2D15"/>
    <w:rsid w:val="003F00BD"/>
    <w:rsid w:val="00417669"/>
    <w:rsid w:val="004313B2"/>
    <w:rsid w:val="00440475"/>
    <w:rsid w:val="00440FA0"/>
    <w:rsid w:val="00444174"/>
    <w:rsid w:val="00446443"/>
    <w:rsid w:val="00446E59"/>
    <w:rsid w:val="004626E0"/>
    <w:rsid w:val="00473FB7"/>
    <w:rsid w:val="0047405C"/>
    <w:rsid w:val="00477B8A"/>
    <w:rsid w:val="00482472"/>
    <w:rsid w:val="00484017"/>
    <w:rsid w:val="00485B98"/>
    <w:rsid w:val="004A7206"/>
    <w:rsid w:val="004B2E2A"/>
    <w:rsid w:val="004B3BE7"/>
    <w:rsid w:val="004B7A28"/>
    <w:rsid w:val="004C5118"/>
    <w:rsid w:val="004C7312"/>
    <w:rsid w:val="004C73AD"/>
    <w:rsid w:val="004D0FF1"/>
    <w:rsid w:val="004D2F57"/>
    <w:rsid w:val="004D5D53"/>
    <w:rsid w:val="004D7200"/>
    <w:rsid w:val="004E2A8B"/>
    <w:rsid w:val="004E4E0B"/>
    <w:rsid w:val="004E5FA1"/>
    <w:rsid w:val="00511C1A"/>
    <w:rsid w:val="005173A5"/>
    <w:rsid w:val="0053376D"/>
    <w:rsid w:val="00551268"/>
    <w:rsid w:val="00554497"/>
    <w:rsid w:val="00554A6F"/>
    <w:rsid w:val="005665CB"/>
    <w:rsid w:val="005757F5"/>
    <w:rsid w:val="00581788"/>
    <w:rsid w:val="005818A7"/>
    <w:rsid w:val="00591ED5"/>
    <w:rsid w:val="00593D2B"/>
    <w:rsid w:val="005961AA"/>
    <w:rsid w:val="005A0FDF"/>
    <w:rsid w:val="005A229F"/>
    <w:rsid w:val="005A7958"/>
    <w:rsid w:val="005C37B2"/>
    <w:rsid w:val="005C467E"/>
    <w:rsid w:val="005C47F0"/>
    <w:rsid w:val="005C7C01"/>
    <w:rsid w:val="005E6D44"/>
    <w:rsid w:val="005F5CD5"/>
    <w:rsid w:val="00605069"/>
    <w:rsid w:val="006124EB"/>
    <w:rsid w:val="00615447"/>
    <w:rsid w:val="00633D62"/>
    <w:rsid w:val="00642332"/>
    <w:rsid w:val="00642DCD"/>
    <w:rsid w:val="00645A1A"/>
    <w:rsid w:val="00650C8B"/>
    <w:rsid w:val="0065549A"/>
    <w:rsid w:val="00660083"/>
    <w:rsid w:val="0066232F"/>
    <w:rsid w:val="006801DE"/>
    <w:rsid w:val="00696198"/>
    <w:rsid w:val="006A01DC"/>
    <w:rsid w:val="006A44AF"/>
    <w:rsid w:val="006A5584"/>
    <w:rsid w:val="006A57C6"/>
    <w:rsid w:val="006A64EA"/>
    <w:rsid w:val="006A6528"/>
    <w:rsid w:val="006B2EDF"/>
    <w:rsid w:val="006B6D49"/>
    <w:rsid w:val="006D5842"/>
    <w:rsid w:val="006E36B0"/>
    <w:rsid w:val="006E67EE"/>
    <w:rsid w:val="00712667"/>
    <w:rsid w:val="00721090"/>
    <w:rsid w:val="00724500"/>
    <w:rsid w:val="00724E2A"/>
    <w:rsid w:val="00731C2F"/>
    <w:rsid w:val="0073482C"/>
    <w:rsid w:val="00740BCE"/>
    <w:rsid w:val="0075257B"/>
    <w:rsid w:val="00760655"/>
    <w:rsid w:val="007708A9"/>
    <w:rsid w:val="007742BC"/>
    <w:rsid w:val="007840CD"/>
    <w:rsid w:val="007A05A6"/>
    <w:rsid w:val="007A146E"/>
    <w:rsid w:val="007A377A"/>
    <w:rsid w:val="007B7C7D"/>
    <w:rsid w:val="007C4A2B"/>
    <w:rsid w:val="007D1661"/>
    <w:rsid w:val="007D30EF"/>
    <w:rsid w:val="007E6C18"/>
    <w:rsid w:val="00804793"/>
    <w:rsid w:val="0080515E"/>
    <w:rsid w:val="00824501"/>
    <w:rsid w:val="00831CC2"/>
    <w:rsid w:val="00837FB2"/>
    <w:rsid w:val="0084048E"/>
    <w:rsid w:val="00844C91"/>
    <w:rsid w:val="00845D2C"/>
    <w:rsid w:val="0086234C"/>
    <w:rsid w:val="00863E3F"/>
    <w:rsid w:val="00872B7C"/>
    <w:rsid w:val="008826FD"/>
    <w:rsid w:val="00882743"/>
    <w:rsid w:val="008849E7"/>
    <w:rsid w:val="00891983"/>
    <w:rsid w:val="00896155"/>
    <w:rsid w:val="008A283C"/>
    <w:rsid w:val="008D0E12"/>
    <w:rsid w:val="008D0FA7"/>
    <w:rsid w:val="008E504A"/>
    <w:rsid w:val="00900965"/>
    <w:rsid w:val="00901D67"/>
    <w:rsid w:val="0091259A"/>
    <w:rsid w:val="009125ED"/>
    <w:rsid w:val="00923D1C"/>
    <w:rsid w:val="00926240"/>
    <w:rsid w:val="0093260E"/>
    <w:rsid w:val="009414A2"/>
    <w:rsid w:val="0095730A"/>
    <w:rsid w:val="009625D1"/>
    <w:rsid w:val="00970341"/>
    <w:rsid w:val="00976331"/>
    <w:rsid w:val="00980681"/>
    <w:rsid w:val="00982777"/>
    <w:rsid w:val="0099193A"/>
    <w:rsid w:val="00996C4B"/>
    <w:rsid w:val="009A2608"/>
    <w:rsid w:val="009B28E3"/>
    <w:rsid w:val="009C43DD"/>
    <w:rsid w:val="009C552F"/>
    <w:rsid w:val="009D0326"/>
    <w:rsid w:val="009D3219"/>
    <w:rsid w:val="009E214C"/>
    <w:rsid w:val="00A24CB6"/>
    <w:rsid w:val="00A25497"/>
    <w:rsid w:val="00A261A8"/>
    <w:rsid w:val="00A267B0"/>
    <w:rsid w:val="00A33892"/>
    <w:rsid w:val="00A354F6"/>
    <w:rsid w:val="00A372AC"/>
    <w:rsid w:val="00A62870"/>
    <w:rsid w:val="00A62C75"/>
    <w:rsid w:val="00A63A07"/>
    <w:rsid w:val="00A63FAE"/>
    <w:rsid w:val="00A67CDF"/>
    <w:rsid w:val="00A73C4C"/>
    <w:rsid w:val="00A7625A"/>
    <w:rsid w:val="00A95E01"/>
    <w:rsid w:val="00AA1479"/>
    <w:rsid w:val="00AA73CC"/>
    <w:rsid w:val="00AB00A6"/>
    <w:rsid w:val="00AB0D2C"/>
    <w:rsid w:val="00AC249D"/>
    <w:rsid w:val="00AD4784"/>
    <w:rsid w:val="00AE2E0F"/>
    <w:rsid w:val="00AE6A45"/>
    <w:rsid w:val="00AE7827"/>
    <w:rsid w:val="00AF29F3"/>
    <w:rsid w:val="00B05C61"/>
    <w:rsid w:val="00B06D79"/>
    <w:rsid w:val="00B1449F"/>
    <w:rsid w:val="00B22142"/>
    <w:rsid w:val="00B36B8B"/>
    <w:rsid w:val="00B42D28"/>
    <w:rsid w:val="00B43ECC"/>
    <w:rsid w:val="00B447DE"/>
    <w:rsid w:val="00B51724"/>
    <w:rsid w:val="00B57089"/>
    <w:rsid w:val="00B655DD"/>
    <w:rsid w:val="00B677F9"/>
    <w:rsid w:val="00B71F81"/>
    <w:rsid w:val="00B726F9"/>
    <w:rsid w:val="00B76704"/>
    <w:rsid w:val="00BA62CD"/>
    <w:rsid w:val="00BA7511"/>
    <w:rsid w:val="00BB35B1"/>
    <w:rsid w:val="00BB6639"/>
    <w:rsid w:val="00BD0048"/>
    <w:rsid w:val="00BD00B8"/>
    <w:rsid w:val="00BD1261"/>
    <w:rsid w:val="00BD6FE3"/>
    <w:rsid w:val="00BE13F5"/>
    <w:rsid w:val="00BE53DD"/>
    <w:rsid w:val="00BF3F2C"/>
    <w:rsid w:val="00BF3F83"/>
    <w:rsid w:val="00C01393"/>
    <w:rsid w:val="00C02142"/>
    <w:rsid w:val="00C211B6"/>
    <w:rsid w:val="00C23C27"/>
    <w:rsid w:val="00C23E0C"/>
    <w:rsid w:val="00C4040C"/>
    <w:rsid w:val="00C51E52"/>
    <w:rsid w:val="00C709ED"/>
    <w:rsid w:val="00C72238"/>
    <w:rsid w:val="00C72BF0"/>
    <w:rsid w:val="00C739DB"/>
    <w:rsid w:val="00C7475B"/>
    <w:rsid w:val="00C8524F"/>
    <w:rsid w:val="00C92564"/>
    <w:rsid w:val="00C926DB"/>
    <w:rsid w:val="00CB2A8E"/>
    <w:rsid w:val="00CC01F0"/>
    <w:rsid w:val="00CC29A0"/>
    <w:rsid w:val="00CC68B0"/>
    <w:rsid w:val="00CC69EB"/>
    <w:rsid w:val="00CD3238"/>
    <w:rsid w:val="00CE20E4"/>
    <w:rsid w:val="00D01D93"/>
    <w:rsid w:val="00D13870"/>
    <w:rsid w:val="00D177FC"/>
    <w:rsid w:val="00D30D04"/>
    <w:rsid w:val="00D3204E"/>
    <w:rsid w:val="00D32161"/>
    <w:rsid w:val="00D32960"/>
    <w:rsid w:val="00D33FCD"/>
    <w:rsid w:val="00D37351"/>
    <w:rsid w:val="00D44A1B"/>
    <w:rsid w:val="00D479B9"/>
    <w:rsid w:val="00D47C87"/>
    <w:rsid w:val="00D47F0F"/>
    <w:rsid w:val="00D52898"/>
    <w:rsid w:val="00D57411"/>
    <w:rsid w:val="00D57788"/>
    <w:rsid w:val="00D75AF9"/>
    <w:rsid w:val="00D83167"/>
    <w:rsid w:val="00D87457"/>
    <w:rsid w:val="00D92672"/>
    <w:rsid w:val="00D936A1"/>
    <w:rsid w:val="00D97C41"/>
    <w:rsid w:val="00DA510B"/>
    <w:rsid w:val="00DB0378"/>
    <w:rsid w:val="00DC1C23"/>
    <w:rsid w:val="00DE3B41"/>
    <w:rsid w:val="00DF0270"/>
    <w:rsid w:val="00E1485E"/>
    <w:rsid w:val="00E232B6"/>
    <w:rsid w:val="00E23F0F"/>
    <w:rsid w:val="00E258B8"/>
    <w:rsid w:val="00E32145"/>
    <w:rsid w:val="00E36A86"/>
    <w:rsid w:val="00E74354"/>
    <w:rsid w:val="00E97B21"/>
    <w:rsid w:val="00EB3C9F"/>
    <w:rsid w:val="00EB7BEE"/>
    <w:rsid w:val="00ED139B"/>
    <w:rsid w:val="00ED49CB"/>
    <w:rsid w:val="00ED67A3"/>
    <w:rsid w:val="00EE1375"/>
    <w:rsid w:val="00EE3C69"/>
    <w:rsid w:val="00EF09CE"/>
    <w:rsid w:val="00EF119D"/>
    <w:rsid w:val="00F16F25"/>
    <w:rsid w:val="00F20392"/>
    <w:rsid w:val="00F225ED"/>
    <w:rsid w:val="00F26625"/>
    <w:rsid w:val="00F27AF5"/>
    <w:rsid w:val="00F312A0"/>
    <w:rsid w:val="00F34BDC"/>
    <w:rsid w:val="00F40E0F"/>
    <w:rsid w:val="00F44C59"/>
    <w:rsid w:val="00F50550"/>
    <w:rsid w:val="00F83F66"/>
    <w:rsid w:val="00FB3FE3"/>
    <w:rsid w:val="00FB45A1"/>
    <w:rsid w:val="00FC5D52"/>
    <w:rsid w:val="00FC6C81"/>
    <w:rsid w:val="00FD16D2"/>
    <w:rsid w:val="00FE786C"/>
    <w:rsid w:val="00FF0EFA"/>
    <w:rsid w:val="00FF1655"/>
    <w:rsid w:val="00FF2091"/>
    <w:rsid w:val="00FF47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A1E6"/>
  <w15:chartTrackingRefBased/>
  <w15:docId w15:val="{1FF8ED9D-46C6-48E8-AD3F-C982F3E6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09CE"/>
    <w:pPr>
      <w:numPr>
        <w:ilvl w:val="1"/>
        <w:numId w:val="1"/>
      </w:numPr>
      <w:spacing w:after="0" w:line="240" w:lineRule="auto"/>
      <w:jc w:val="both"/>
    </w:pPr>
    <w:rPr>
      <w:rFonts w:ascii="Helvetica Neue" w:eastAsia="Calibri" w:hAnsi="Helvetica Neue" w:cs="Times New Roman"/>
    </w:rPr>
  </w:style>
  <w:style w:type="character" w:customStyle="1" w:styleId="ListParagraphChar">
    <w:name w:val="List Paragraph Char"/>
    <w:aliases w:val="Estilo 1 Char,Est titulo 3 Char,SBT TITULO 4 Char,Párrafo de lista2 Char,Cuadro 2-1 Char,Párrafo de lista21 Char,TEX_03 Char,OTRO Char,Viñet-1n Char,List (a) Char,Párrafo (x) Char,Lista 123 Char"/>
    <w:link w:val="ListParagraph"/>
    <w:uiPriority w:val="34"/>
    <w:locked/>
    <w:rsid w:val="00EF09CE"/>
    <w:rPr>
      <w:rFonts w:ascii="Helvetica Neue" w:eastAsia="Times New Roman" w:hAnsi="Helvetica Neue"/>
      <w:b/>
      <w:bCs/>
    </w:rPr>
  </w:style>
  <w:style w:type="paragraph" w:styleId="ListParagraph">
    <w:name w:val="List Paragraph"/>
    <w:aliases w:val="Estilo 1,Est titulo 3,SBT TITULO 4,Párrafo de lista2,Cuadro 2-1,Párrafo de lista21,TEX_03,OTRO,Viñet-1n,List (a),Párrafo (x),Lista 123"/>
    <w:basedOn w:val="Normal"/>
    <w:link w:val="ListParagraphChar"/>
    <w:uiPriority w:val="34"/>
    <w:qFormat/>
    <w:rsid w:val="00EF09CE"/>
    <w:pPr>
      <w:numPr>
        <w:numId w:val="1"/>
      </w:numPr>
      <w:spacing w:after="0" w:line="240" w:lineRule="auto"/>
      <w:contextualSpacing/>
      <w:jc w:val="both"/>
    </w:pPr>
    <w:rPr>
      <w:rFonts w:ascii="Helvetica Neue" w:eastAsia="Times New Roman" w:hAnsi="Helvetica Neue"/>
      <w:b/>
      <w:bCs/>
    </w:rPr>
  </w:style>
  <w:style w:type="paragraph" w:customStyle="1" w:styleId="Default">
    <w:name w:val="Default"/>
    <w:rsid w:val="00285F84"/>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B71F81"/>
    <w:rPr>
      <w:color w:val="0000FF"/>
      <w:u w:val="single"/>
    </w:rPr>
  </w:style>
  <w:style w:type="paragraph" w:styleId="BlockText">
    <w:name w:val="Block Text"/>
    <w:basedOn w:val="Normal"/>
    <w:uiPriority w:val="99"/>
    <w:rsid w:val="00B71F81"/>
    <w:pPr>
      <w:spacing w:after="0" w:line="240" w:lineRule="auto"/>
      <w:ind w:left="2160" w:right="-24" w:hanging="2160"/>
      <w:jc w:val="both"/>
    </w:pPr>
    <w:rPr>
      <w:rFonts w:ascii="Arial" w:eastAsia="Times New Roman" w:hAnsi="Arial" w:cs="Arial"/>
    </w:rPr>
  </w:style>
  <w:style w:type="table" w:customStyle="1" w:styleId="TableGrid">
    <w:name w:val="TableGrid"/>
    <w:rsid w:val="00B71F81"/>
    <w:pPr>
      <w:spacing w:after="0" w:line="240" w:lineRule="auto"/>
    </w:pPr>
    <w:rPr>
      <w:rFonts w:eastAsiaTheme="minorEastAsia"/>
      <w:lang w:eastAsia="es-PE"/>
    </w:rPr>
    <w:tblPr>
      <w:tblCellMar>
        <w:top w:w="0" w:type="dxa"/>
        <w:left w:w="0" w:type="dxa"/>
        <w:bottom w:w="0" w:type="dxa"/>
        <w:right w:w="0" w:type="dxa"/>
      </w:tblCellMar>
    </w:tblPr>
  </w:style>
  <w:style w:type="paragraph" w:styleId="Revision">
    <w:name w:val="Revision"/>
    <w:hidden/>
    <w:uiPriority w:val="99"/>
    <w:semiHidden/>
    <w:rsid w:val="005C7C01"/>
    <w:pPr>
      <w:spacing w:after="0" w:line="240" w:lineRule="auto"/>
    </w:pPr>
  </w:style>
  <w:style w:type="character" w:styleId="CommentReference">
    <w:name w:val="annotation reference"/>
    <w:basedOn w:val="DefaultParagraphFont"/>
    <w:uiPriority w:val="99"/>
    <w:semiHidden/>
    <w:unhideWhenUsed/>
    <w:rsid w:val="00C709ED"/>
    <w:rPr>
      <w:sz w:val="16"/>
      <w:szCs w:val="16"/>
    </w:rPr>
  </w:style>
  <w:style w:type="paragraph" w:styleId="CommentText">
    <w:name w:val="annotation text"/>
    <w:basedOn w:val="Normal"/>
    <w:link w:val="CommentTextChar"/>
    <w:uiPriority w:val="99"/>
    <w:unhideWhenUsed/>
    <w:rsid w:val="00C709ED"/>
    <w:pPr>
      <w:spacing w:line="240" w:lineRule="auto"/>
    </w:pPr>
    <w:rPr>
      <w:sz w:val="20"/>
      <w:szCs w:val="20"/>
    </w:rPr>
  </w:style>
  <w:style w:type="character" w:customStyle="1" w:styleId="CommentTextChar">
    <w:name w:val="Comment Text Char"/>
    <w:basedOn w:val="DefaultParagraphFont"/>
    <w:link w:val="CommentText"/>
    <w:uiPriority w:val="99"/>
    <w:rsid w:val="00C709ED"/>
    <w:rPr>
      <w:sz w:val="20"/>
      <w:szCs w:val="20"/>
    </w:rPr>
  </w:style>
  <w:style w:type="paragraph" w:styleId="CommentSubject">
    <w:name w:val="annotation subject"/>
    <w:basedOn w:val="CommentText"/>
    <w:next w:val="CommentText"/>
    <w:link w:val="CommentSubjectChar"/>
    <w:uiPriority w:val="99"/>
    <w:semiHidden/>
    <w:unhideWhenUsed/>
    <w:rsid w:val="00C709ED"/>
    <w:rPr>
      <w:b/>
      <w:bCs/>
    </w:rPr>
  </w:style>
  <w:style w:type="character" w:customStyle="1" w:styleId="CommentSubjectChar">
    <w:name w:val="Comment Subject Char"/>
    <w:basedOn w:val="CommentTextChar"/>
    <w:link w:val="CommentSubject"/>
    <w:uiPriority w:val="99"/>
    <w:semiHidden/>
    <w:rsid w:val="00C709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8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2592</Words>
  <Characters>14781</Characters>
  <Application>Microsoft Office Word</Application>
  <DocSecurity>4</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Zarate</dc:creator>
  <cp:keywords/>
  <dc:description/>
  <cp:lastModifiedBy>Freddy Portal</cp:lastModifiedBy>
  <cp:revision>6</cp:revision>
  <dcterms:created xsi:type="dcterms:W3CDTF">2023-03-06T16:20:00Z</dcterms:created>
  <dcterms:modified xsi:type="dcterms:W3CDTF">2023-03-06T16:44:00Z</dcterms:modified>
</cp:coreProperties>
</file>